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BC" w:rsidRPr="00AF39BC" w:rsidRDefault="00AF39BC" w:rsidP="00AF39BC">
      <w:pPr>
        <w:spacing w:after="240" w:line="300" w:lineRule="atLeast"/>
        <w:ind w:firstLine="0"/>
        <w:jc w:val="left"/>
        <w:rPr>
          <w:rFonts w:ascii="Times New Roman" w:hAnsi="Times New Roman"/>
          <w:color w:val="1C283D"/>
          <w:sz w:val="28"/>
          <w:szCs w:val="28"/>
        </w:rPr>
      </w:pPr>
      <w:r w:rsidRPr="00AF39BC">
        <w:rPr>
          <w:rFonts w:ascii="Times New Roman" w:hAnsi="Times New Roman"/>
          <w:color w:val="1C283D"/>
          <w:sz w:val="28"/>
          <w:szCs w:val="28"/>
        </w:rPr>
        <w:t>Resmi Gazete Tarihi: 22.04.2014 Resmi Gazete Sayısı: 28980</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SİGORTA ACENTELERİ YÖNETMELİĞİ</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BİRİNCİ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Amaç, Kapsam, Dayanak, Tanımlar ve Kısaltmalar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Amaç ve kapsam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 –</w:t>
      </w:r>
      <w:r w:rsidRPr="00AF39BC">
        <w:rPr>
          <w:rFonts w:ascii="Times New Roman" w:hAnsi="Times New Roman"/>
          <w:color w:val="1C283D"/>
          <w:sz w:val="28"/>
          <w:szCs w:val="28"/>
        </w:rPr>
        <w:t xml:space="preserve"> (1) Bu Yönetmeliğin amacı, sigorta acenteliği faaliyetlerinin sigortacılık sektörüne olan güveni artırıcı biçimde sürdürülmesini ve sözleşme taraflarının hak ve menfaatlerinin korunmasını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acentelik sisteminin kurumsallaşmasının sağlanması, acentelik faaliyetlerinin çerçevesi ile bu faaliyetlere ilişkin temel ilkelerin belirlenmesidir.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Bu Yönetmelik, sigorta acenteliği yapacak gerçek ve tüzel kişilerin niteliklerine, kuruluş ve teşkilatlarına, yetki ve sorumlulukları ile faaliyetlerine ilişkin esas ve usulleri kapsar.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Dayanak</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 –</w:t>
      </w:r>
      <w:r w:rsidRPr="00AF39BC">
        <w:rPr>
          <w:rFonts w:ascii="Times New Roman" w:hAnsi="Times New Roman"/>
          <w:color w:val="1C283D"/>
          <w:sz w:val="28"/>
          <w:szCs w:val="28"/>
        </w:rPr>
        <w:t xml:space="preserve"> (1) Bu Yönetmelik, </w:t>
      </w:r>
      <w:proofErr w:type="gramStart"/>
      <w:r w:rsidRPr="00AF39BC">
        <w:rPr>
          <w:rFonts w:ascii="Times New Roman" w:hAnsi="Times New Roman"/>
          <w:color w:val="1C283D"/>
          <w:sz w:val="28"/>
          <w:szCs w:val="28"/>
        </w:rPr>
        <w:t>3/6/2007</w:t>
      </w:r>
      <w:proofErr w:type="gramEnd"/>
      <w:r w:rsidRPr="00AF39BC">
        <w:rPr>
          <w:rFonts w:ascii="Times New Roman" w:hAnsi="Times New Roman"/>
          <w:color w:val="1C283D"/>
          <w:sz w:val="28"/>
          <w:szCs w:val="28"/>
        </w:rPr>
        <w:t xml:space="preserve"> tarihli ve 5684 sayılı Sigortacılık Kanununun 23 üncü maddesine dayanılarak hazırlanmıştır.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Tanımlar ve kısaltmalar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3 –</w:t>
      </w:r>
      <w:r w:rsidRPr="00AF39BC">
        <w:rPr>
          <w:rFonts w:ascii="Times New Roman" w:hAnsi="Times New Roman"/>
          <w:color w:val="1C283D"/>
          <w:sz w:val="28"/>
          <w:szCs w:val="28"/>
        </w:rPr>
        <w:t xml:space="preserve"> (1) Bu Yönetmelikte yer alan;</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a) Acente: 5684 sayılı Sigortacılık Kanununun 2 </w:t>
      </w:r>
      <w:proofErr w:type="spellStart"/>
      <w:r w:rsidRPr="00AF39BC">
        <w:rPr>
          <w:rFonts w:ascii="Times New Roman" w:hAnsi="Times New Roman"/>
          <w:color w:val="1C283D"/>
          <w:sz w:val="28"/>
          <w:szCs w:val="28"/>
        </w:rPr>
        <w:t>nci</w:t>
      </w:r>
      <w:proofErr w:type="spellEnd"/>
      <w:r w:rsidRPr="00AF39BC">
        <w:rPr>
          <w:rFonts w:ascii="Times New Roman" w:hAnsi="Times New Roman"/>
          <w:color w:val="1C283D"/>
          <w:sz w:val="28"/>
          <w:szCs w:val="28"/>
        </w:rPr>
        <w:t xml:space="preserve"> maddesinin birinci fıkrasının (m) bendinde tanımlanan gerçek veya tüzel kişi sigorta acentesini,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İcra Komitesi: Türkiye Odalar ve Borsalar Birliği nezdindeki Sigorta Acenteleri İcra Komitesini,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c) Kanun: </w:t>
      </w:r>
      <w:proofErr w:type="gramStart"/>
      <w:r w:rsidRPr="00AF39BC">
        <w:rPr>
          <w:rFonts w:ascii="Times New Roman" w:hAnsi="Times New Roman"/>
          <w:color w:val="1C283D"/>
          <w:sz w:val="28"/>
          <w:szCs w:val="28"/>
        </w:rPr>
        <w:t>3/6/2007</w:t>
      </w:r>
      <w:proofErr w:type="gramEnd"/>
      <w:r w:rsidRPr="00AF39BC">
        <w:rPr>
          <w:rFonts w:ascii="Times New Roman" w:hAnsi="Times New Roman"/>
          <w:color w:val="1C283D"/>
          <w:sz w:val="28"/>
          <w:szCs w:val="28"/>
        </w:rPr>
        <w:t xml:space="preserve"> tarihli ve 5684 sayılı Sigortacılık Kanununu,</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Levha: Sigorta acenteleri için Türkiye Odalar ve Borsalar Birliği tarafından düzenlenen ve faal olarak çalışanlara ilişkin kayıtları gösteren Levhayı,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d) Malvarlığı: Gerçek kişilerin mülkiyetinde bulunan değeri parayla ölçülebilir taşınır ve taşınmaz varlıklar tutarını,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e) Müsteşarlık: Hazine Müsteşarlığını,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f) Oda: Ticaret odaları ile ticaret ve sanayi odalarını,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g) SEGEM: 5684 sayılı Sigortacılık Kanununun 31 inci maddesine istinaden kurulan Sigortacılık Eğitim Merkezini,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ğ) Sigorta şirketi: Türkiye’de kurulmuş sigorta şirketi ile yurt dışında kurulmuş sigorta şirketinin Türkiye’deki teşkilâtını,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h) Teknik personel: Acentelerde sigorta pazarlama, bilgilendirme ve satış işlemlerini yapan personeli,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ı) TOBB: Türkiye Odalar ve Borsalar Birliğini,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i) TSB: Türkiye Sigorta Reasürans ve Emeklilik Şirketleri Birliğini,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j) Uygunluk belgesi: Levhaya kaydı uygun görülen acenteler için Müsteşarlıkça Türkiye Odalar ve Borsalar Birliğine gönderilen, 5684 sayılı Kanunun 23 üncü maddesinde belirtilen belge niteliğindeki yazı ya da bildirimi,</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ifade</w:t>
      </w:r>
      <w:proofErr w:type="gramEnd"/>
      <w:r w:rsidRPr="00AF39BC">
        <w:rPr>
          <w:rFonts w:ascii="Times New Roman" w:hAnsi="Times New Roman"/>
          <w:color w:val="1C283D"/>
          <w:sz w:val="28"/>
          <w:szCs w:val="28"/>
        </w:rPr>
        <w:t xml:space="preserve"> eder.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lastRenderedPageBreak/>
        <w:t>İKİNCİ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Kuruluş ve Teşkilata İlişkin Hükümler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Gerçek kişi acenteler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4 –</w:t>
      </w:r>
      <w:r w:rsidRPr="00AF39BC">
        <w:rPr>
          <w:rFonts w:ascii="Times New Roman" w:hAnsi="Times New Roman"/>
          <w:color w:val="1C283D"/>
          <w:sz w:val="28"/>
          <w:szCs w:val="28"/>
        </w:rPr>
        <w:t xml:space="preserve"> (1) Acentelik faaliyetinde bulunacak gerçek kişilerde aşağıdaki nitelikler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a) Teknik personel unvanını taşıması.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Türkiye’de yerleşik olması.</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c) Kasten işlenen bir suçtan dolayı affa uğramış olsalar dahi 5 yıldan fazla hapis,  sigortacılık mevzuatına aykırı hareketlerinden dolayı hapis veya birden fazla adlî para cezasına mahkûm edilmemiş olması;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bilişim sistemini engelleme, bozma, verileri yok etme veya değiştirme, banka veya kredi kartlarının kötüye kullanılması, suçtan kaynaklanan malvarlığı değerlerini aklama, terörün finansmanı, kaçakçılık, vergi kaçakçılığı veya haksız mal edinme suçlarından hüküm giymemiş olması.</w:t>
      </w:r>
      <w:proofErr w:type="gramEnd"/>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9 uncu maddede belirtilen asgari mal varlığı şartını yerine getirmiş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d)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Fiziki şartlar, teknik ve idari altyapı ile insan kaynakları bakımından yeterli donanıma sahip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Ek-1’de yer alan öğrenim düzeyleri ile bu öğrenim düzeylerinin karşısında yer alan mesleki deneyim süresini tamamlaması.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Tüzel kişi acenteler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5 –</w:t>
      </w:r>
      <w:r w:rsidRPr="00AF39BC">
        <w:rPr>
          <w:rFonts w:ascii="Times New Roman" w:hAnsi="Times New Roman"/>
          <w:color w:val="1C283D"/>
          <w:sz w:val="28"/>
          <w:szCs w:val="28"/>
        </w:rPr>
        <w:t xml:space="preserve"> (1) Acentelik faaliyetinde bulunacak tüzel kişilerde aşağıdaki nitelikler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a)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Merkezlerinin Türkiye’de bulunması ve anonim şirket veya </w:t>
      </w:r>
      <w:proofErr w:type="spellStart"/>
      <w:r w:rsidRPr="00AF39BC">
        <w:rPr>
          <w:rFonts w:ascii="Times New Roman" w:hAnsi="Times New Roman"/>
          <w:color w:val="1C283D"/>
          <w:sz w:val="28"/>
          <w:szCs w:val="28"/>
        </w:rPr>
        <w:t>limited</w:t>
      </w:r>
      <w:proofErr w:type="spellEnd"/>
      <w:r w:rsidRPr="00AF39BC">
        <w:rPr>
          <w:rFonts w:ascii="Times New Roman" w:hAnsi="Times New Roman"/>
          <w:color w:val="1C283D"/>
          <w:sz w:val="28"/>
          <w:szCs w:val="28"/>
        </w:rPr>
        <w:t xml:space="preserve"> şirket şeklinde kurulmuş olmaları.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Asgari ödenmiş sermaye şartını yerine getirmiş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c)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Fiziki şartlar, teknik ve idari altyapı ile insan kaynakları bakımından yeterli donanıma sahip olması.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 xml:space="preserve">-11/10/2014-29142)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Tüzel kişi acentelerin gerçek kişi ortakları ile tüzel kişi ortaklarının gerçek kişi ortaklarında 4 üncü maddenin birinci fıkrasının (c) bendinde belirtilen şart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Teknik personel</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xml:space="preserve">MADDE 6 – (Başlığı ile Birlikte </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b/>
          <w:bCs/>
          <w:color w:val="1C283D"/>
          <w:sz w:val="28"/>
          <w:szCs w:val="28"/>
        </w:rPr>
        <w:t xml:space="preserve"> </w:t>
      </w:r>
    </w:p>
    <w:p w:rsid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Acenteler tarafından yürütülecek sigorta ürünlerine yönelik pazarlama, bilgilendirme ve satış işlemlerinin yalnızca acentelerin teknik personeli tarafından yapılması esastır.</w:t>
      </w: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(2) Teknik personel unvanının kazanılabilmesi için;</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a) Medeni hakları kullanma ehliyetine sahip olunması,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4 üncü maddenin birinci fıkrasının (c) bendinde belirtilen suçlardan hüküm giyilmemiş veya ceza alınmamış olunması,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c) Ek-1’de yer alan öğrenim düzeyleri ile bu öğrenim düzeylerinin karşısında yer alan mesleki deneyim süresinin tamamlanması,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SEGEM tarafından yapılacak teknik personel yeterlilik sınavının kazanılması,</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gerekir</w:t>
      </w:r>
      <w:proofErr w:type="gramEnd"/>
      <w:r w:rsidRPr="00AF39BC">
        <w:rPr>
          <w:rFonts w:ascii="Times New Roman" w:hAnsi="Times New Roman"/>
          <w:color w:val="1C283D"/>
          <w:sz w:val="28"/>
          <w:szCs w:val="28"/>
        </w:rPr>
        <w:t>.</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Teknik personelin yürüttüğü mesleki işlemlerden dolayı üçüncü kişilere verecekleri zararlardan teknik personel ve bağlı bulundukları acenteler sorumludur.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İnsan kaynakları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xml:space="preserve">MADDE 7 – (Başlığı ile Birlikte </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Acentelerde, ilgisine göre teknik personel, müdür, genel müdür yardımcısı ve genel müdür marifetiyle faaliyet yürütülür.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Genel müdür, genel müdür yardımcısı ve müdürlerde 4 üncü maddenin birinci fıkrasının (a), (b), (c) ve (e) bentlerinde sayılan nitelikler aranır. İcra Komitesi, genel müdür ve genel müdür yardımcıları için 4 üncü maddenin birinci fıkrasının (a) bendinde sayılan niteliğin aranmamasına karar verebilir.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İcra Komitesi, acentenin niteliğini, faaliyet konusunu, hacmini ve diğer unsurları dikkate alarak Ek-1’de yer alan görev tanımları çerçevesinde hangi kategoride ve sayıda personelin faaliyet yürüteceğini belirler.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Acentelerin teşkilatı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8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Acenteler, merkezleri dışında şube açabilir.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Acente şubeleri, şube olduğu belirtilmek şartıyla acente ile aynı unvanı taşır.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Şube açarak teşkilatlanmak isteyen acentelerin 9 uncu maddede belirtilen şartları sağlaması ve açılacak şubelerin fiziki şartlar, teknik ve idari altyapı ile insan kaynakları bakımından aranan şartları sağlaması gerekir.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Her ne isimle olursa olsun içeriği itibarıyla şube ile aynı niteliğe sahip her türlü yapılanma şubeler için getirilen esaslara tabidir.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Asgari ödenmiş sermaye ve malvarlığı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9 –(</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 (1) Gerçek kişi acentelerin beyan edecekleri malvarlıkları ile tüzel kişi acentelerin şirket türüne göre Gümrük ve Ticaret Bakanlığınca belirlenen tutardan az olmamak kaydıyla sahip olacakları asgari ödenmiş sermaye miktarı 50.000.-TL’den az olamaz. </w:t>
      </w:r>
    </w:p>
    <w:p w:rsid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Şube açarak teşkilatlanacak acentelerin merkez için en az 300.000.-TL ve her bir şube için en az 25.000.-TL sermayeye sahip olmaları gerekir. Şube açmaksızın sadece mesafeli satış yapmak isteyenler için asgari sermaye de 300.000.-TL’dir.</w:t>
      </w: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xml:space="preserve">(3) Şube açarak teşkilatlanan veya mesafeli satış yapan acenteler, yılsonları itibariyle satışına aracılık ettikleri prim tutarının en az %4’ü kadar </w:t>
      </w:r>
      <w:proofErr w:type="spellStart"/>
      <w:r w:rsidRPr="00AF39BC">
        <w:rPr>
          <w:rFonts w:ascii="Times New Roman" w:hAnsi="Times New Roman"/>
          <w:color w:val="1C283D"/>
          <w:sz w:val="28"/>
          <w:szCs w:val="28"/>
        </w:rPr>
        <w:t>özkaynağa</w:t>
      </w:r>
      <w:proofErr w:type="spellEnd"/>
      <w:r w:rsidRPr="00AF39BC">
        <w:rPr>
          <w:rFonts w:ascii="Times New Roman" w:hAnsi="Times New Roman"/>
          <w:color w:val="1C283D"/>
          <w:sz w:val="28"/>
          <w:szCs w:val="28"/>
        </w:rPr>
        <w:t xml:space="preserve"> sahip olmak zorundadır. Bu tutar her durumda 300.000.-TL’den az olamaz. İlave sermaye ihtiyacının ortaya çıkması halinde, eksik kalan sermaye en geç ilgili yılın Haziran ayı sonuna kadar tamamlanır.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Asgari ödenmiş sermaye ile beyan edilecek malvarlıklarının en az %50’sinin nakit, mevduat ya da devlet iç borçlanma senedi gibi nakde kolay dönüşebilir yatırım araçlarından oluşması gerekir.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Uygunluk belgesi ve Levhaya kayıt</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10 –</w:t>
      </w:r>
      <w:r w:rsidRPr="00AF39BC">
        <w:rPr>
          <w:rFonts w:ascii="Times New Roman" w:hAnsi="Times New Roman"/>
          <w:color w:val="1C283D"/>
          <w:sz w:val="28"/>
          <w:szCs w:val="28"/>
        </w:rPr>
        <w:t xml:space="preserve"> (1) Levhaya kayıt olunmadan acentelik faaliyetinde bulunulamaz. Sigorta acenteliği yapacak gerçek veya tüzel kişilerin Levhaya kayıt öncesinde Müsteşarlıktan uygunluk belgesi almaları gerekir.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Uygunluk belgesi başvurusu TOBB tarafından görevlendirilecek odalara yapılır. Başvurularda, İcra Komitesi tarafından belirlenen ve bu Yönetmelikte aranan şartları tevsik edici belgeler aranır.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Belgeleri tamamlanmış olan acentelerin başvuruları TOBB tarafından Müsteşarlığa intikal ettirilir. Müsteşarlıkça yapılacak değerlendirmede durumu uygun görülenler Levhaya kaydedilmek üzere TOBB’a bildirilir. Bu bildirim, bildirime konu acenteler bakımından uygunluk belgesi niteliğindedir.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Levhaya kayıtlı olan acenteler TOBB internet sitesinde duyurulur. Bu kapsamda yer alacak bilgiler Müsteşarlığın uygun görüşüyle TOBB tarafından belirlenir.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Mesleki sorumluluk sigortası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11 –</w:t>
      </w:r>
      <w:r w:rsidRPr="00AF39BC">
        <w:rPr>
          <w:rFonts w:ascii="Times New Roman" w:hAnsi="Times New Roman"/>
          <w:color w:val="1C283D"/>
          <w:sz w:val="28"/>
          <w:szCs w:val="28"/>
        </w:rPr>
        <w:t xml:space="preserve"> (1) Acenteler, mesleki faaliyetleri nedeniyle verebilecekleri zararlardan sorumludur.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Müsteşarlık, birinci fıkrada yer alan sorumluluğun karşılanmasını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sigorta veya benzeri teminat şartı aramaya yetkilidir.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Unvan</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12 –</w:t>
      </w:r>
      <w:r w:rsidRPr="00AF39BC">
        <w:rPr>
          <w:rFonts w:ascii="Times New Roman" w:hAnsi="Times New Roman"/>
          <w:color w:val="1C283D"/>
          <w:sz w:val="28"/>
          <w:szCs w:val="28"/>
        </w:rPr>
        <w:t xml:space="preserve"> (1) Acente unvanlarında “sigorta aracılığı” veya “sigorta acenteliği” ifadelerinden birisi kullanılır. Acenteler, mevzuata aykırı olmamak şartıyla unvanlarında ilave ifadeler de kullanabilir.</w:t>
      </w: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Bankalar ve özel kanunlarına istinaden acentelik yapan kurumlar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13 –</w:t>
      </w:r>
      <w:r w:rsidRPr="00AF39BC">
        <w:rPr>
          <w:rFonts w:ascii="Times New Roman" w:hAnsi="Times New Roman"/>
          <w:color w:val="1C283D"/>
          <w:sz w:val="28"/>
          <w:szCs w:val="28"/>
        </w:rPr>
        <w:t xml:space="preserve"> (1) Kanunun 23 üncü maddesinin üçüncü fıkrası uyarınca acentelik faaliyeti yapacak olan bankalar ile özel kanunla kurulmuş ve kendisine sigorta acenteliği yapma yetkisi tanınan kurumlar, aracılılık yaptıkları sigorta şirketlerini ve yetkilerinin kapsamını da belirterek TOBB’a bildirimde bulunur. Bildirimde bulunanlara TOBB tarafından kayıt numarası verilir.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Kanunun 23 üncü maddesinin üçüncü fıkrası uyarınca acentelik faaliyeti yapacak olan bankalar ile özel kanunla kurulmuş ve kendisine sigorta acenteliği yapma yetkisi tanınan kurumlar, her yılın Şubat ayı sonuna kadar acentelik faaliyeti yürütülen birimleri ile teknik personele ilişkin bilgileri TOBB’a bildirir.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Kanunun 23 üncü maddesinin üçüncü fıkrası uyarınca acentelik faaliyeti yapacak olan bankalar ile özel kanunla kurulmuş ve kendisine sigorta acenteliği yapma yetkisi tanınan kurumlar için bu Yönetmeliğin 5, 7, 8, 9, 10, 12 ve 16 </w:t>
      </w:r>
      <w:proofErr w:type="spellStart"/>
      <w:r w:rsidRPr="00AF39BC">
        <w:rPr>
          <w:rFonts w:ascii="Times New Roman" w:hAnsi="Times New Roman"/>
          <w:color w:val="1C283D"/>
          <w:sz w:val="28"/>
          <w:szCs w:val="28"/>
        </w:rPr>
        <w:t>ncı</w:t>
      </w:r>
      <w:proofErr w:type="spellEnd"/>
      <w:r w:rsidRPr="00AF39BC">
        <w:rPr>
          <w:rFonts w:ascii="Times New Roman" w:hAnsi="Times New Roman"/>
          <w:color w:val="1C283D"/>
          <w:sz w:val="28"/>
          <w:szCs w:val="28"/>
        </w:rPr>
        <w:t xml:space="preserve"> maddeleri ile 14 üncü maddesinin ikinci, üçüncü ve dördüncü fıkraları uygulanmaz.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-11/10/2014-29142) (Değişik:RG-16/1/2016-29595)</w:t>
      </w:r>
      <w:r w:rsidRPr="00AF39BC">
        <w:rPr>
          <w:rFonts w:ascii="Times New Roman" w:hAnsi="Times New Roman"/>
          <w:b/>
          <w:bCs/>
          <w:color w:val="1C283D"/>
          <w:sz w:val="28"/>
          <w:szCs w:val="28"/>
          <w:vertAlign w:val="superscript"/>
        </w:rPr>
        <w:t xml:space="preserve">(1) </w:t>
      </w:r>
      <w:r w:rsidRPr="00AF39BC">
        <w:rPr>
          <w:rFonts w:ascii="Times New Roman" w:hAnsi="Times New Roman"/>
          <w:color w:val="1C283D"/>
          <w:sz w:val="28"/>
          <w:szCs w:val="28"/>
        </w:rPr>
        <w:t xml:space="preserve">6361 sayılı Finansal Kiralama, </w:t>
      </w:r>
      <w:proofErr w:type="spellStart"/>
      <w:r w:rsidRPr="00AF39BC">
        <w:rPr>
          <w:rFonts w:ascii="Times New Roman" w:hAnsi="Times New Roman"/>
          <w:color w:val="1C283D"/>
          <w:sz w:val="28"/>
          <w:szCs w:val="28"/>
        </w:rPr>
        <w:t>Faktoring</w:t>
      </w:r>
      <w:proofErr w:type="spellEnd"/>
      <w:r w:rsidRPr="00AF39BC">
        <w:rPr>
          <w:rFonts w:ascii="Times New Roman" w:hAnsi="Times New Roman"/>
          <w:color w:val="1C283D"/>
          <w:sz w:val="28"/>
          <w:szCs w:val="28"/>
        </w:rPr>
        <w:t xml:space="preserve"> ve Finansman Şirketleri Kanunu uyarınca sigorta acenteliği yapma yetkisi tanınan finansal kiralama ve finansman şirketleri sigorta acenteliği faaliyetinde bulunabilmelerini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bu Yönetmelikte 5, 8, 9 ve 12 </w:t>
      </w:r>
      <w:proofErr w:type="spellStart"/>
      <w:r w:rsidRPr="00AF39BC">
        <w:rPr>
          <w:rFonts w:ascii="Times New Roman" w:hAnsi="Times New Roman"/>
          <w:color w:val="1C283D"/>
          <w:sz w:val="28"/>
          <w:szCs w:val="28"/>
        </w:rPr>
        <w:t>nci</w:t>
      </w:r>
      <w:proofErr w:type="spellEnd"/>
      <w:r w:rsidRPr="00AF39BC">
        <w:rPr>
          <w:rFonts w:ascii="Times New Roman" w:hAnsi="Times New Roman"/>
          <w:color w:val="1C283D"/>
          <w:sz w:val="28"/>
          <w:szCs w:val="28"/>
        </w:rPr>
        <w:t xml:space="preserve"> maddelerdeki hükümler hariç olmak üzere aranan şartları yerine getirmek suretiyle Levhaya kaydedilir. Bu kurumlar iştigal konularına giren işlere ilişkin sigorta sözleşmelerinin yapılmasına aracılık dışında sigortacılık işlemleriyle iştigal edemez.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İcra Komitesi tarafından belirlenecek hususlar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13/A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proofErr w:type="gramStart"/>
      <w:r w:rsidRPr="00AF39BC">
        <w:rPr>
          <w:rFonts w:ascii="Times New Roman" w:hAnsi="Times New Roman"/>
          <w:color w:val="1C283D"/>
          <w:sz w:val="28"/>
          <w:szCs w:val="28"/>
        </w:rPr>
        <w:t>(1) Merkez ve şubeler için uygulanacak fiziki şartlar, teknik, idari altyapı ile insan kaynakları; acentelerin teşkilatı; teknik personel nitelikleri; unvan; değişikliklerin bildirilmesi ve güncelleme; ilan, reklam, afiş ve pano; sürekli eğitim; bilgi kayıtları ve kayıtlara erişime ilişkin genel düzenleyici işlemler dâhil tüm işlemler bu Yönetmelikte belirtilen şartlara uygun olmak koşuluyla ilgisine göre İcra Komitesi veya TOBB tarafından tesis ve icra edilir.</w:t>
      </w:r>
      <w:proofErr w:type="gramEnd"/>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Müsteşarlık, mevzuata ve sigortacılık sektörünün genel menfaatlerine aykırılık tespit etmesi halinde Türkiye Odalar ve Borsalar Birliğinden sigorta acentelerine ilişkin yapılan düzenlemelerinin iptal edilmesini veya düzenlemelerde değişiklik yapılmasını isteyebilir. Bu durumda gerekli düzenlemeler en fazla 3 ay içinde yapılır.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ÜÇÜNCÜ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Faaliyete İlişkin Hükümler</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Acentelik yetkilerinin verilmesi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14 –</w:t>
      </w:r>
      <w:r w:rsidRPr="00AF39BC">
        <w:rPr>
          <w:rFonts w:ascii="Times New Roman" w:hAnsi="Times New Roman"/>
          <w:color w:val="1C283D"/>
          <w:sz w:val="28"/>
          <w:szCs w:val="28"/>
        </w:rPr>
        <w:t xml:space="preserve"> (1) Acentelik yetkisi sigorta şirketlerince hususi bir vekâletnameyle verilir. Bu yetkiler acenteler tarafından başka acentelere veya kişilere devredilmez. Acentelik yetkisi verilen vekâletnamelerde faaliyette bulunulacak sigorta dalları ve bu dallar kapsamında tanınacak yetkiler belirtilir. Vekâletnameler usulü dairesinde tescil ve ilan ettirilir. Acentelik yetkilerinin kapsam ve sınırında yapılacak değişiklikler ile bu yetkilerin kısmen veya tamamen kaldırılması da aynı merasime tabidir.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Sigorta şirketleri, birinci fıkrada belirtilen hususları, tescil ve ilanı müteakip </w:t>
      </w:r>
      <w:proofErr w:type="spellStart"/>
      <w:r w:rsidRPr="00AF39BC">
        <w:rPr>
          <w:rFonts w:ascii="Times New Roman" w:hAnsi="Times New Roman"/>
          <w:color w:val="1C283D"/>
          <w:sz w:val="28"/>
          <w:szCs w:val="28"/>
        </w:rPr>
        <w:t>onbeş</w:t>
      </w:r>
      <w:proofErr w:type="spellEnd"/>
      <w:r w:rsidRPr="00AF39BC">
        <w:rPr>
          <w:rFonts w:ascii="Times New Roman" w:hAnsi="Times New Roman"/>
          <w:color w:val="1C283D"/>
          <w:sz w:val="28"/>
          <w:szCs w:val="28"/>
        </w:rPr>
        <w:t xml:space="preserve"> iş günü içinde, Levhaya işlenmek üzere TOBB’a bildirir. Sigorta şirketleri tarafından acentelik yetkisi verilen Levhaya kayıtlı acenteler, bu yetkinin kapsam ve sınırı belirtilmek suretiyle elektronik ortama işlenir. Bu konulardaki gerekli bilgi işlem programı TOBB tarafından oluşturulur.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(3) Sigorta şirketleri tarafından Levha kaydı bulunmayanlara acentelik yetkisi verilmez ve bunlarla acentelik sözleşmesi yapılamaz. Acentelik sözleşmesinin tesciline ilişkin işlemlerde Levha kaydı görülmeden kayıt yapılmaz.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Levha kaydını takip eden altı ay içinde en az bir sigorta şirketiyle acentelik sözleşmesinin yapılarak poliçe düzenlemeye başlanmış olması, Kanunun 23 üncü maddesinin dördüncü fıkrasının (c) bendi uygulamasında acentelerin faaliyete geçtiğinin göstergesi olarak değerlendirilir.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Acentelik sözleşmesi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15 –</w:t>
      </w:r>
      <w:r w:rsidRPr="00AF39BC">
        <w:rPr>
          <w:rFonts w:ascii="Times New Roman" w:hAnsi="Times New Roman"/>
          <w:color w:val="1C283D"/>
          <w:sz w:val="28"/>
          <w:szCs w:val="28"/>
        </w:rPr>
        <w:t xml:space="preserve"> (1) Aşağıda belirtilen hususlar sigorta şirketleriyle acenteler arasında yapılacak acentelik sözleşmelerinde düzenlenir.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a) Sözleşmenin tarafları.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b) Sözleşmenin süresi, yenileme ve fesih şartları.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c) Acenteye verilen yetkinin sigorta </w:t>
      </w:r>
      <w:proofErr w:type="gramStart"/>
      <w:r w:rsidRPr="00AF39BC">
        <w:rPr>
          <w:rFonts w:ascii="Times New Roman" w:hAnsi="Times New Roman"/>
          <w:color w:val="1C283D"/>
          <w:sz w:val="28"/>
          <w:szCs w:val="28"/>
        </w:rPr>
        <w:t>branşları</w:t>
      </w:r>
      <w:proofErr w:type="gramEnd"/>
      <w:r w:rsidRPr="00AF39BC">
        <w:rPr>
          <w:rFonts w:ascii="Times New Roman" w:hAnsi="Times New Roman"/>
          <w:color w:val="1C283D"/>
          <w:sz w:val="28"/>
          <w:szCs w:val="28"/>
        </w:rPr>
        <w:t xml:space="preserve"> itibarıyla kapsamı ve coğrafi sınırı.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ç) Levha kayıt numarası veya 13 üncü maddedeki kurum ve kuruluşlar için kayıt numarası.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d)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 (2)</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 xml:space="preserve">Branş bazında ödenecek komisyon ve sağlanacak diğer menfaatlere ilişkin usul ve esaslar.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Tarafların hak ve yükümlülükleri.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f) Poliçe düzenlenmesine, primin tahsiline ve sigorta şirketine intikaline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g) Hesap mutabakatına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ğ) Tesis edilecek teminata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Acentelik sözleşmelerinde, </w:t>
      </w:r>
      <w:proofErr w:type="gramStart"/>
      <w:r w:rsidRPr="00AF39BC">
        <w:rPr>
          <w:rFonts w:ascii="Times New Roman" w:hAnsi="Times New Roman"/>
          <w:color w:val="1C283D"/>
          <w:sz w:val="28"/>
          <w:szCs w:val="28"/>
        </w:rPr>
        <w:t>13/1/2011</w:t>
      </w:r>
      <w:proofErr w:type="gramEnd"/>
      <w:r w:rsidRPr="00AF39BC">
        <w:rPr>
          <w:rFonts w:ascii="Times New Roman" w:hAnsi="Times New Roman"/>
          <w:color w:val="1C283D"/>
          <w:sz w:val="28"/>
          <w:szCs w:val="28"/>
        </w:rPr>
        <w:t xml:space="preserve"> tarihli ve 6102 sayılı Türk Ticaret Kanunu, 5684 sayılı Sigortacılık Kanunu, bu Yönetmelik ve diğer ilgili mevzuata aykırı olmamak kaydıyla birinci fıkradaki hükümlere ilave hükümler yer alabilir.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Belirsiz bir süre için yapılmış olan acentelik sözleşmesini, taraflardan her biri üç ay önceden ihbarda bulunmak şartıyla feshedebilir. Sözleşme belirli bir süre için yapılmış olsa bile haklı sebeplerden dolayı her zaman fesih olunabilir. Sözleşmenin feshine neden olan haklı sebepler acentelik sözleşmesinde açıklanır. Sigorta şirketi sözleşmede yer vermediği bir hususu haklı sebep olarak dayanak gösteremez. Fesih sonuçlarını doğuran uygulamalar da fesih ile aynı hükümlere tabidir.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Sözleşmenin feshinin tarafların hak ve yükümlülüklerine etkisine ilişkin usul ve esaslar sözleşmede açıklanır.</w:t>
      </w:r>
    </w:p>
    <w:p w:rsid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Sözleşme kapsamında yer alan hükümlerin acente aleyhine olacak şekilde değiştirilmesine ilişkin düzenlemeler, değişikliğin yapılmasından itibaren asgari 2 ay sonra yürürlüğe girer. Müsteşarlık bu süreyi yarısına kadar uzatabilir.</w:t>
      </w:r>
    </w:p>
    <w:p w:rsidR="00AF39BC" w:rsidRDefault="00AF39BC" w:rsidP="00AF39BC">
      <w:pPr>
        <w:ind w:firstLine="567"/>
        <w:rPr>
          <w:rFonts w:ascii="Times New Roman" w:hAnsi="Times New Roman"/>
          <w:color w:val="1C283D"/>
          <w:sz w:val="28"/>
          <w:szCs w:val="28"/>
        </w:rPr>
      </w:pPr>
    </w:p>
    <w:p w:rsid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lastRenderedPageBreak/>
        <w:t xml:space="preserve">Değişikliklerin bildirilmesi ve güncelleme (Değişik </w:t>
      </w:r>
      <w:proofErr w:type="gramStart"/>
      <w:r w:rsidRPr="00AF39BC">
        <w:rPr>
          <w:rFonts w:ascii="Times New Roman" w:hAnsi="Times New Roman"/>
          <w:b/>
          <w:bCs/>
          <w:color w:val="1C283D"/>
          <w:sz w:val="28"/>
          <w:szCs w:val="28"/>
        </w:rPr>
        <w:t>başlık:RG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b/>
          <w:bCs/>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16 –</w:t>
      </w:r>
      <w:r w:rsidRPr="00AF39BC">
        <w:rPr>
          <w:rFonts w:ascii="Times New Roman" w:hAnsi="Times New Roman"/>
          <w:color w:val="1C283D"/>
          <w:sz w:val="28"/>
          <w:szCs w:val="28"/>
        </w:rPr>
        <w:t xml:space="preserve"> (1)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 xml:space="preserve">Bu Yönetmelik çerçevesinde meydana gelecek her türlü değişikliği, ilgisine göre acenteler veya sigorta şirketleri değişikliği takiben en geç </w:t>
      </w:r>
      <w:proofErr w:type="spellStart"/>
      <w:r w:rsidRPr="00AF39BC">
        <w:rPr>
          <w:rFonts w:ascii="Times New Roman" w:hAnsi="Times New Roman"/>
          <w:color w:val="1C283D"/>
          <w:sz w:val="28"/>
          <w:szCs w:val="28"/>
        </w:rPr>
        <w:t>onbeş</w:t>
      </w:r>
      <w:proofErr w:type="spellEnd"/>
      <w:r w:rsidRPr="00AF39BC">
        <w:rPr>
          <w:rFonts w:ascii="Times New Roman" w:hAnsi="Times New Roman"/>
          <w:color w:val="1C283D"/>
          <w:sz w:val="28"/>
          <w:szCs w:val="28"/>
        </w:rPr>
        <w:t xml:space="preserve"> iş günü içinde ve elektronik ortamda Levhaya işlenmek üzere uygunluk belgesi başvurusunda bulundukları odaya bildirir. Bu değişiklikler Müsteşarlıkça belirlenecek usul ve esaslara göre TOBB tarafından Levhaya kaydedilir.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Acentenin Levha kayıt bilgilerinde yer alan iletişim bilgileri </w:t>
      </w:r>
      <w:proofErr w:type="gramStart"/>
      <w:r w:rsidRPr="00AF39BC">
        <w:rPr>
          <w:rFonts w:ascii="Times New Roman" w:hAnsi="Times New Roman"/>
          <w:color w:val="1C283D"/>
          <w:sz w:val="28"/>
          <w:szCs w:val="28"/>
        </w:rPr>
        <w:t>11/2/1959</w:t>
      </w:r>
      <w:proofErr w:type="gramEnd"/>
      <w:r w:rsidRPr="00AF39BC">
        <w:rPr>
          <w:rFonts w:ascii="Times New Roman" w:hAnsi="Times New Roman"/>
          <w:color w:val="1C283D"/>
          <w:sz w:val="28"/>
          <w:szCs w:val="28"/>
        </w:rPr>
        <w:t xml:space="preserve"> tarihli ve 7201 sayılı Tebligat Kanunu uygulaması bakımından tebligata esas alınır.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Sigorta poliçelerinin düzenlenmesi ve primlerin tahsili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17 –</w:t>
      </w:r>
      <w:r w:rsidRPr="00AF39BC">
        <w:rPr>
          <w:rFonts w:ascii="Times New Roman" w:hAnsi="Times New Roman"/>
          <w:color w:val="1C283D"/>
          <w:sz w:val="28"/>
          <w:szCs w:val="28"/>
        </w:rPr>
        <w:t xml:space="preserve"> (1) Sigorta sözleşmesi akdetme ve/veya prim tahsil etme yetkisi sigorta şirketlerine aittir. Bu yetki, acentelik vekâletnamesinde belirtilmek kaydıyla, sigorta acentelerine devredilebilir. Sigorta şirketlerince sözleşme yapma ve/veya prim tahsil etme konularında yetkilendirilmemiş acenteler poliçe düzenleyemez ve/veya prim tahsilâtı yapamaz.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Acentelerce düzenlenen poliçeler kapsamında sigortalı tarafından acentelere yapılan ödeme sigorta şirketine yapılmış sayılır. Acenteler tarafından düzenlenen poliçeler kapsamındaki tazminat ödemelerinin sigorta şirketlerince doğrudan hak sahibine yapılması esastır. Sigorta şirketlerince tazminat ödemesi kapsamında acenteye ödeme yapılması durumunda, yapılan ödeme hak sahibi tarafından tahsil edilmedikçe ödenmiş sayılmaz.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Sigorta şirketleri sigorta poliçelerine aracılık eden acentenin unvanı, Levha kayıt numarası veya 13 üncü maddedeki kurum ve kuruluşlar için kayıt numarasının poliçelerde yer alması için gerekli düzenlemeleri yapar. Sigorta şirketleri ve acenteler, teknik personel olmayan kişilerin tahsis edilen kullanıcı adı ve şifreleri kullanmamaları için gerekli tedbirleri alır.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 ile sigorta şirketi arasındaki komisyon ve diğer menfaatler hakkında, sigorta ettiren veya sigorta sözleşmesinden menfaat sağlayanlara yapılacak bilgilendirmeye ilişkin usul ve esaslar Müsteşarlıkça belirlenir.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Acenteler, bilgi işlem altyapılarını Müsteşarlıkça belirlenecek usul ve esaslara uygun hale getirir.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Hesap planı ve hesap mutabakatı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18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 xml:space="preserve">-11/10/2014-29142)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Sigorta şirketleri ve acentelerin hesap ve kayıt düzenlerini üçer aylık dönemler itibariyle mutabakat çalışmasına uygun olacak şekilde oluşturmaları ve en geç ilgili dönemi takiben bir ay içinde mutabakat sağlamaları gereklidir.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Acenteler, aracılık ettikleri prim tutarları ve tahakkuk eden komisyonu çalıştıkları şirketler bazında takip eder. Sigorta şirketleri, acenteler ile akdettikleri sözleşmenin uygulanmasını etkileyen hususlara ilişkin olarak acentelik sözleşmesinde belirlenen dönemler halinde acenteye bilgi verir.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xml:space="preserve">(3)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rPr>
        <w:t xml:space="preserve"> Acenteler hesaplarını ve mali tablolarını ilgili mevzuat çerçevesinde tutar.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İlan, reklâm, afiş ve pano</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19 –</w:t>
      </w:r>
      <w:r w:rsidRPr="00AF39BC">
        <w:rPr>
          <w:rFonts w:ascii="Times New Roman" w:hAnsi="Times New Roman"/>
          <w:color w:val="1C283D"/>
          <w:sz w:val="28"/>
          <w:szCs w:val="28"/>
        </w:rPr>
        <w:t xml:space="preserve"> (1) Acentelerin ve şubelerinin </w:t>
      </w:r>
      <w:proofErr w:type="gramStart"/>
      <w:r w:rsidRPr="00AF39BC">
        <w:rPr>
          <w:rFonts w:ascii="Times New Roman" w:hAnsi="Times New Roman"/>
          <w:color w:val="1C283D"/>
          <w:sz w:val="28"/>
          <w:szCs w:val="28"/>
        </w:rPr>
        <w:t>antet</w:t>
      </w:r>
      <w:proofErr w:type="gramEnd"/>
      <w:r w:rsidRPr="00AF39BC">
        <w:rPr>
          <w:rFonts w:ascii="Times New Roman" w:hAnsi="Times New Roman"/>
          <w:color w:val="1C283D"/>
          <w:sz w:val="28"/>
          <w:szCs w:val="28"/>
        </w:rPr>
        <w:t>, afiş, reklam ve tabelalarında acente unvanına yer verilir.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(2)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Acente unvanı ile Levha kayıt numarasını içeren bir plaka acentelik faaliyeti gösterilen mekânların girişinde ve gözle görünür şekilde asılır.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13 üncü maddedeki kurum ve kuruluşlar acentelik faaliyeti gösterilen birimlerinde, adına acentelik yaptıkları sigorta şirketlerinin unvanları müşterilerince görülebilecek bir yerde yazılı olarak yer alır.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Acenteler sözleşme yaptırmak isteyenlere Müsteşarlıkça belirlenecek esaslara göre aracılık ettikleri sigorta şirketlerini ve bu şirketlerce kendilerine tanınan yetkileri bildirir, varsa internet sitelerinde yayımlar.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Sürekli eğitim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20 –</w:t>
      </w:r>
      <w:r w:rsidRPr="00AF39BC">
        <w:rPr>
          <w:rFonts w:ascii="Times New Roman" w:hAnsi="Times New Roman"/>
          <w:color w:val="1C283D"/>
          <w:sz w:val="28"/>
          <w:szCs w:val="28"/>
        </w:rPr>
        <w:t xml:space="preserve"> (1)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r w:rsidRPr="00AF39BC">
        <w:rPr>
          <w:rFonts w:ascii="Times New Roman" w:hAnsi="Times New Roman"/>
          <w:color w:val="1C283D"/>
          <w:sz w:val="28"/>
          <w:szCs w:val="28"/>
        </w:rPr>
        <w:t>Teknik personel, mesleki yeterliliklerinin, bilgi ve becerilerinin devamlılığını sağlamak amacıyla usul ve esasları Müsteşarlığın uygun görüşü alınmak şartıyla İcra Komitesi tarafından belirlenecek ve SEGEM tarafından verilecek eğitime katılır.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w:t>
      </w:r>
      <w:r w:rsidRPr="00AF39BC">
        <w:rPr>
          <w:rFonts w:ascii="Times New Roman" w:hAnsi="Times New Roman"/>
          <w:b/>
          <w:bCs/>
          <w:color w:val="1C283D"/>
          <w:sz w:val="28"/>
          <w:szCs w:val="28"/>
        </w:rPr>
        <w:t xml:space="preserve"> (</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b/>
          <w:bCs/>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(3) Eğitimi süresi içinde tamamlamamış olan teknik personelin faaliyeti bu eğitim tamamlanıncaya kadar durdurulur. Faaliyeti durdurulan teknik personele ilişkin bilgiler TOBB ve </w:t>
      </w:r>
      <w:proofErr w:type="spellStart"/>
      <w:r w:rsidRPr="00AF39BC">
        <w:rPr>
          <w:rFonts w:ascii="Times New Roman" w:hAnsi="Times New Roman"/>
          <w:color w:val="1C283D"/>
          <w:sz w:val="28"/>
          <w:szCs w:val="28"/>
        </w:rPr>
        <w:t>TSB’ye</w:t>
      </w:r>
      <w:proofErr w:type="spellEnd"/>
      <w:r w:rsidRPr="00AF39BC">
        <w:rPr>
          <w:rFonts w:ascii="Times New Roman" w:hAnsi="Times New Roman"/>
          <w:color w:val="1C283D"/>
          <w:sz w:val="28"/>
          <w:szCs w:val="28"/>
        </w:rPr>
        <w:t xml:space="preserve"> iletilir.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Teknik personel kimliği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21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Mülga:RG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(1)</w:t>
      </w:r>
      <w:r w:rsidRPr="00AF39BC">
        <w:rPr>
          <w:rFonts w:ascii="Times New Roman" w:hAnsi="Times New Roman"/>
          <w:color w:val="1C283D"/>
          <w:sz w:val="28"/>
          <w:szCs w:val="28"/>
          <w:vertAlign w:val="superscript"/>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Bilgi kayıtları ve kayıtlara erişim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22 –</w:t>
      </w:r>
      <w:r w:rsidRPr="00AF39BC">
        <w:rPr>
          <w:rFonts w:ascii="Times New Roman" w:hAnsi="Times New Roman"/>
          <w:color w:val="1C283D"/>
          <w:sz w:val="28"/>
          <w:szCs w:val="28"/>
        </w:rPr>
        <w:t xml:space="preserve"> (1) TOBB nezdinde tutulan Levhaya ilişkin bilgiler, bilgilere erişim tanınacak yetkili kullanıcılar ve kullanıcıların erişebilecekleri kayıtların içeriği ile erişim şekli TOBB’un görüşü alınarak Müsteşarlıkça belirlenir. Elektronik ortamda TOBB’a veya odalara bildirim yapılmasına ilişkin usuller TOBB tarafından belirlenir.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Müsteşarlık talimatları ile İcra Komitesince gerekli görülen karar ve duyuruların acentelere iletilmesi için TOBB tarafından gerekli işlemler yapılır.</w:t>
      </w:r>
    </w:p>
    <w:p w:rsidR="00AF39BC" w:rsidRPr="00AF39BC" w:rsidRDefault="00AF39BC" w:rsidP="00AF39BC">
      <w:pPr>
        <w:ind w:firstLine="567"/>
        <w:rPr>
          <w:rFonts w:ascii="Times New Roman" w:hAnsi="Times New Roman"/>
          <w:b/>
          <w:bCs/>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DÖRDÜNCÜ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Faaliyetin Sona Ermesine İlişkin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Acentelik faaliyetinin sona erdirilmesi ve acentelik yetkilerinin kaldırılması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23 –</w:t>
      </w:r>
      <w:r w:rsidRPr="00AF39BC">
        <w:rPr>
          <w:rFonts w:ascii="Times New Roman" w:hAnsi="Times New Roman"/>
          <w:color w:val="1C283D"/>
          <w:sz w:val="28"/>
          <w:szCs w:val="28"/>
        </w:rPr>
        <w:t xml:space="preserve"> (1) Acentelerin kendi talepleriyle faaliyetlerine son vermek istemeleri durumunda faaliyetin sonlandırılmasına ilişkin kararın alındığı tarihten itibaren en geç beş iş günü içinde Levha bilgilerine işlenmek üzere TOBB’a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(2) Sigorta şirketlerince acentelik yetkilerinin tamamının veya bir kısmının kaldırılması veya acentelik sözleşmelerinin feshedilmesi halleri en geç beş iş günü içinde Levha bilgilerine işlenmek üzere TOBB’a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Gerekli işlemlerin tamamlanmasını takiben, faaliyeti sona eren acentenin Levha kaydı silinir. Levha kaydı silinen acenteler listesinde, Levha kaydının silinme gerekçesine yer verilir.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(4) Mahkeme kararıyla kesinleşmiş prim borcunun ödenmemesi nedeniyle şirketlerince acentelik yetkileri kaldırılanlar Müsteşarlığa bildirilir ve acentelik faaliyetleri bu borçları ödeninceye kadar Müsteşarlıkça geçici olarak durdurulur. Bu husus Levhaya işlenmek üzere TOBB’a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(5) Levha kaydı silinen ya da acentelik yetkileri geçici veya sürekli olarak kaldırılan acentelerin mevcut </w:t>
      </w:r>
      <w:proofErr w:type="gramStart"/>
      <w:r w:rsidRPr="00AF39BC">
        <w:rPr>
          <w:rFonts w:ascii="Times New Roman" w:hAnsi="Times New Roman"/>
          <w:color w:val="1C283D"/>
          <w:sz w:val="28"/>
          <w:szCs w:val="28"/>
        </w:rPr>
        <w:t>portföylerine</w:t>
      </w:r>
      <w:proofErr w:type="gramEnd"/>
      <w:r w:rsidRPr="00AF39BC">
        <w:rPr>
          <w:rFonts w:ascii="Times New Roman" w:hAnsi="Times New Roman"/>
          <w:color w:val="1C283D"/>
          <w:sz w:val="28"/>
          <w:szCs w:val="28"/>
        </w:rPr>
        <w:t xml:space="preserve"> ilişkin devam eden işlemler bakımından sigortalıların, hak sahiplerinin ve acentelerin menfaatlerinin korunması için ilgili sigorta şirketlerince gerekli tedbirler alınır.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Uygunluk belgesinin iptali</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24 –</w:t>
      </w:r>
      <w:r w:rsidRPr="00AF39BC">
        <w:rPr>
          <w:rFonts w:ascii="Times New Roman" w:hAnsi="Times New Roman"/>
          <w:color w:val="1C283D"/>
          <w:sz w:val="28"/>
          <w:szCs w:val="28"/>
        </w:rPr>
        <w:t xml:space="preserve"> (1) Müsteşarlıkça yapılan izleme, inceleme veya denetim sonucunda, Kanunun 32 </w:t>
      </w:r>
      <w:proofErr w:type="spellStart"/>
      <w:r w:rsidRPr="00AF39BC">
        <w:rPr>
          <w:rFonts w:ascii="Times New Roman" w:hAnsi="Times New Roman"/>
          <w:color w:val="1C283D"/>
          <w:sz w:val="28"/>
          <w:szCs w:val="28"/>
        </w:rPr>
        <w:t>nci</w:t>
      </w:r>
      <w:proofErr w:type="spellEnd"/>
      <w:r w:rsidRPr="00AF39BC">
        <w:rPr>
          <w:rFonts w:ascii="Times New Roman" w:hAnsi="Times New Roman"/>
          <w:color w:val="1C283D"/>
          <w:sz w:val="28"/>
          <w:szCs w:val="28"/>
        </w:rPr>
        <w:t xml:space="preserve"> maddesi hükümlerine uygun hareket etmediği tespit edilen acentelerin faaliyetleri Müsteşarlıkça yapılacak uyarıya rağmen durumlarını düzeltmemeleri halinde altı aya kadar geçici olarak durdurulabilir. Faaliyetleri geçici olarak durdurulanlar, durumları Levhaya kaydedilmek üzere Müsteşarlıkça TOBB’a, ayrıca çalıştıkları şirketlerce de bu acenteler aracılığıyla poliçe düzenlenmesinin durdurulmasını </w:t>
      </w:r>
      <w:proofErr w:type="spellStart"/>
      <w:r w:rsidRPr="00AF39BC">
        <w:rPr>
          <w:rFonts w:ascii="Times New Roman" w:hAnsi="Times New Roman"/>
          <w:color w:val="1C283D"/>
          <w:sz w:val="28"/>
          <w:szCs w:val="28"/>
        </w:rPr>
        <w:t>teminen</w:t>
      </w:r>
      <w:proofErr w:type="spellEnd"/>
      <w:r w:rsidRPr="00AF39BC">
        <w:rPr>
          <w:rFonts w:ascii="Times New Roman" w:hAnsi="Times New Roman"/>
          <w:color w:val="1C283D"/>
          <w:sz w:val="28"/>
          <w:szCs w:val="28"/>
        </w:rPr>
        <w:t xml:space="preserve"> </w:t>
      </w:r>
      <w:proofErr w:type="spellStart"/>
      <w:r w:rsidRPr="00AF39BC">
        <w:rPr>
          <w:rFonts w:ascii="Times New Roman" w:hAnsi="Times New Roman"/>
          <w:color w:val="1C283D"/>
          <w:sz w:val="28"/>
          <w:szCs w:val="28"/>
        </w:rPr>
        <w:t>TSB’ye</w:t>
      </w:r>
      <w:proofErr w:type="spellEnd"/>
      <w:r w:rsidRPr="00AF39BC">
        <w:rPr>
          <w:rFonts w:ascii="Times New Roman" w:hAnsi="Times New Roman"/>
          <w:color w:val="1C283D"/>
          <w:sz w:val="28"/>
          <w:szCs w:val="28"/>
        </w:rPr>
        <w:t xml:space="preserve"> bildirilir.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(2) Müsteşarlıkça yapılan izleme, inceleme veya denetim sonucunda mali durumlarının bağlı bulundukları sigorta şirketi üzerinde olumsuz sonuçlara yol açabileceği anlaşılan acenteler için gerekli tedbirlerin alınması amacıyla Müsteşarlıkça ilgili sigorta şirketlerine bildirimde bulunulur. Alınan tedbirlere rağmen durumlarında bir iyileşme olmayan acentelerin faaliyetleri Müsteşarlıkça altı aya kadar geçici olarak durdurulabilir.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(3) Acentelerin birinci fıkraya istinaden faaliyetlerinin geçici olarak durdurulması sonrasında faaliyete başlangıcı takip eden bir yıl içinde aynı fiili tekrar etmeleri halinde uygunluk belgeleri Müsteşarlıkça iptal edilir.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(4) Gerek bu madde hükümlerine göre Müsteşarlıkça uygunluk belgesinin iptal edilmesi ve gerekse İcra Komitesince alınan kararlar çerçevesinde hakkında meslekten çıkarılmasına karar verilenler İcra Komitesi tarafından Levhadan silinir. Bu hususa ilişkin bilgiler TOBB’da ayrı bir liste halinde tutulur ve elektronik ortamda </w:t>
      </w:r>
      <w:proofErr w:type="spellStart"/>
      <w:r w:rsidRPr="00AF39BC">
        <w:rPr>
          <w:rFonts w:ascii="Times New Roman" w:hAnsi="Times New Roman"/>
          <w:color w:val="1C283D"/>
          <w:sz w:val="28"/>
          <w:szCs w:val="28"/>
        </w:rPr>
        <w:t>TSB’ye</w:t>
      </w:r>
      <w:proofErr w:type="spellEnd"/>
      <w:r w:rsidRPr="00AF39BC">
        <w:rPr>
          <w:rFonts w:ascii="Times New Roman" w:hAnsi="Times New Roman"/>
          <w:color w:val="1C283D"/>
          <w:sz w:val="28"/>
          <w:szCs w:val="28"/>
        </w:rPr>
        <w:t xml:space="preserve"> iletilir.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(5) Bu maddede acenteler için öngörülen tedbirler, teknik personel için de uygulanır. Teknik personelin faaliyetlerinin geçici olarak durdurulması, işlem yapma yetkisinin iptali şeklindedir.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(6) Bu maddede belirtilen tüm hususlar ilgili acentenin Levha kayıtlarına işlenir.</w:t>
      </w:r>
    </w:p>
    <w:p w:rsidR="00AF39BC" w:rsidRDefault="00AF39BC" w:rsidP="00AF39BC">
      <w:pPr>
        <w:ind w:firstLine="567"/>
        <w:rPr>
          <w:rFonts w:ascii="Times New Roman" w:hAnsi="Times New Roman"/>
          <w:b/>
          <w:bCs/>
          <w:color w:val="1C283D"/>
          <w:sz w:val="28"/>
          <w:szCs w:val="28"/>
        </w:rPr>
      </w:pPr>
      <w:r w:rsidRPr="00AF39BC">
        <w:rPr>
          <w:rFonts w:ascii="Times New Roman" w:hAnsi="Times New Roman"/>
          <w:b/>
          <w:bCs/>
          <w:color w:val="1C283D"/>
          <w:sz w:val="28"/>
          <w:szCs w:val="28"/>
        </w:rPr>
        <w:t> </w:t>
      </w:r>
    </w:p>
    <w:p w:rsidR="00AF39BC" w:rsidRDefault="00AF39BC" w:rsidP="00AF39BC">
      <w:pPr>
        <w:ind w:firstLine="567"/>
        <w:rPr>
          <w:rFonts w:ascii="Times New Roman" w:hAnsi="Times New Roman"/>
          <w:b/>
          <w:bCs/>
          <w:color w:val="1C283D"/>
          <w:sz w:val="28"/>
          <w:szCs w:val="28"/>
        </w:rPr>
      </w:pPr>
    </w:p>
    <w:p w:rsidR="00AF39BC" w:rsidRDefault="00AF39BC" w:rsidP="00AF39BC">
      <w:pPr>
        <w:ind w:firstLine="567"/>
        <w:rPr>
          <w:rFonts w:ascii="Times New Roman" w:hAnsi="Times New Roman"/>
          <w:b/>
          <w:bCs/>
          <w:color w:val="1C283D"/>
          <w:sz w:val="28"/>
          <w:szCs w:val="28"/>
        </w:rPr>
      </w:pPr>
    </w:p>
    <w:p w:rsidR="00AF39BC" w:rsidRPr="00AF39BC" w:rsidRDefault="00AF39BC" w:rsidP="00AF39BC">
      <w:pPr>
        <w:ind w:firstLine="567"/>
        <w:rPr>
          <w:rFonts w:ascii="Times New Roman" w:hAnsi="Times New Roman"/>
          <w:color w:val="1C283D"/>
          <w:sz w:val="28"/>
          <w:szCs w:val="28"/>
        </w:rPr>
      </w:pP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lastRenderedPageBreak/>
        <w:t>BEŞİNCİ BÖLÜM</w:t>
      </w:r>
    </w:p>
    <w:p w:rsidR="00AF39BC" w:rsidRPr="00AF39BC" w:rsidRDefault="00AF39BC" w:rsidP="00AF39BC">
      <w:pPr>
        <w:ind w:firstLine="567"/>
        <w:jc w:val="center"/>
        <w:rPr>
          <w:rFonts w:ascii="Times New Roman" w:hAnsi="Times New Roman"/>
          <w:color w:val="1C283D"/>
          <w:sz w:val="28"/>
          <w:szCs w:val="28"/>
        </w:rPr>
      </w:pPr>
      <w:r w:rsidRPr="00AF39BC">
        <w:rPr>
          <w:rFonts w:ascii="Times New Roman" w:hAnsi="Times New Roman"/>
          <w:b/>
          <w:bCs/>
          <w:color w:val="1C283D"/>
          <w:sz w:val="28"/>
          <w:szCs w:val="28"/>
        </w:rPr>
        <w:t>Çeşitli ve Son Hükümler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Yürürlükten kaldırılan yönetmelik</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25 –</w:t>
      </w:r>
      <w:r w:rsidRPr="00AF39BC">
        <w:rPr>
          <w:rFonts w:ascii="Times New Roman" w:hAnsi="Times New Roman"/>
          <w:color w:val="1C283D"/>
          <w:sz w:val="28"/>
          <w:szCs w:val="28"/>
        </w:rPr>
        <w:t xml:space="preserve"> (1) </w:t>
      </w:r>
      <w:proofErr w:type="gramStart"/>
      <w:r w:rsidRPr="00AF39BC">
        <w:rPr>
          <w:rFonts w:ascii="Times New Roman" w:hAnsi="Times New Roman"/>
          <w:color w:val="1C283D"/>
          <w:sz w:val="28"/>
          <w:szCs w:val="28"/>
        </w:rPr>
        <w:t>14/4/2008</w:t>
      </w:r>
      <w:proofErr w:type="gramEnd"/>
      <w:r w:rsidRPr="00AF39BC">
        <w:rPr>
          <w:rFonts w:ascii="Times New Roman" w:hAnsi="Times New Roman"/>
          <w:color w:val="1C283D"/>
          <w:sz w:val="28"/>
          <w:szCs w:val="28"/>
        </w:rPr>
        <w:t xml:space="preserve"> tarihli ve 26847 mükerrer sayılı Resmî </w:t>
      </w:r>
      <w:proofErr w:type="spellStart"/>
      <w:r w:rsidRPr="00AF39BC">
        <w:rPr>
          <w:rFonts w:ascii="Times New Roman" w:hAnsi="Times New Roman"/>
          <w:color w:val="1C283D"/>
          <w:sz w:val="28"/>
          <w:szCs w:val="28"/>
        </w:rPr>
        <w:t>Gazete’de</w:t>
      </w:r>
      <w:proofErr w:type="spellEnd"/>
      <w:r w:rsidRPr="00AF39BC">
        <w:rPr>
          <w:rFonts w:ascii="Times New Roman" w:hAnsi="Times New Roman"/>
          <w:color w:val="1C283D"/>
          <w:sz w:val="28"/>
          <w:szCs w:val="28"/>
        </w:rPr>
        <w:t xml:space="preserve"> yayımlanan Sigorta Acenteleri Yönetmeliği yürürlükten kaldırılmıştır.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Yönetmelik hükümlerine uyum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1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Değişik:RG</w:t>
      </w:r>
      <w:proofErr w:type="gramEnd"/>
      <w:r w:rsidRPr="00AF39BC">
        <w:rPr>
          <w:rFonts w:ascii="Times New Roman" w:hAnsi="Times New Roman"/>
          <w:b/>
          <w:bCs/>
          <w:color w:val="1C283D"/>
          <w:sz w:val="28"/>
          <w:szCs w:val="28"/>
        </w:rPr>
        <w:t xml:space="preserve">-11/10/2014-29142)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(1) Bu Yönetmeliğin finansal kiralama ve finansman şirketleri, acentelik sözleşmesi, teknik personel, yardımcı teknik personel ve müdürle ilgili hükümlerine </w:t>
      </w:r>
      <w:proofErr w:type="gramStart"/>
      <w:r w:rsidRPr="00AF39BC">
        <w:rPr>
          <w:rFonts w:ascii="Times New Roman" w:hAnsi="Times New Roman"/>
          <w:color w:val="1C283D"/>
          <w:sz w:val="28"/>
          <w:szCs w:val="28"/>
        </w:rPr>
        <w:t>30/4/2015</w:t>
      </w:r>
      <w:proofErr w:type="gramEnd"/>
      <w:r w:rsidRPr="00AF39BC">
        <w:rPr>
          <w:rFonts w:ascii="Times New Roman" w:hAnsi="Times New Roman"/>
          <w:color w:val="1C283D"/>
          <w:sz w:val="28"/>
          <w:szCs w:val="28"/>
        </w:rPr>
        <w:t xml:space="preserve"> tarihine kadar, diğer hükümlerine 22/10/2014 tarihine kadar uyum sağlanır.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Şubelere ilişkin hükümlere uyum</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2 –(</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 (1) Şube açmak suretiyle teşkilatlanmış acenteler ve mesafeli satış yapan acentelerin </w:t>
      </w:r>
      <w:proofErr w:type="gramStart"/>
      <w:r w:rsidRPr="00AF39BC">
        <w:rPr>
          <w:rFonts w:ascii="Times New Roman" w:hAnsi="Times New Roman"/>
          <w:color w:val="1C283D"/>
          <w:sz w:val="28"/>
          <w:szCs w:val="28"/>
        </w:rPr>
        <w:t>1/5/2015</w:t>
      </w:r>
      <w:proofErr w:type="gramEnd"/>
      <w:r w:rsidRPr="00AF39BC">
        <w:rPr>
          <w:rFonts w:ascii="Times New Roman" w:hAnsi="Times New Roman"/>
          <w:color w:val="1C283D"/>
          <w:sz w:val="28"/>
          <w:szCs w:val="28"/>
        </w:rPr>
        <w:t xml:space="preserve"> tarihine kadar durumlarını Yönetmeliğin şube ve mesafeli satışa ilişkin hükümlerine uygun hale getirmeleri gerekmektedir.</w:t>
      </w:r>
    </w:p>
    <w:p w:rsidR="00AF39BC" w:rsidRPr="00AF39BC" w:rsidRDefault="00AF39BC" w:rsidP="00AF39BC">
      <w:pPr>
        <w:ind w:firstLine="567"/>
        <w:rPr>
          <w:rFonts w:ascii="Times New Roman" w:hAnsi="Times New Roman"/>
          <w:color w:val="1C283D"/>
          <w:sz w:val="28"/>
          <w:szCs w:val="28"/>
        </w:rPr>
      </w:pPr>
      <w:proofErr w:type="spellStart"/>
      <w:r w:rsidRPr="00AF39BC">
        <w:rPr>
          <w:rFonts w:ascii="Times New Roman" w:hAnsi="Times New Roman"/>
          <w:b/>
          <w:bCs/>
          <w:color w:val="1C283D"/>
          <w:sz w:val="28"/>
          <w:szCs w:val="28"/>
        </w:rPr>
        <w:t>Özkaynak</w:t>
      </w:r>
      <w:proofErr w:type="spellEnd"/>
      <w:r w:rsidRPr="00AF39BC">
        <w:rPr>
          <w:rFonts w:ascii="Times New Roman" w:hAnsi="Times New Roman"/>
          <w:b/>
          <w:bCs/>
          <w:color w:val="1C283D"/>
          <w:sz w:val="28"/>
          <w:szCs w:val="28"/>
        </w:rPr>
        <w:t xml:space="preserve"> şartına ilişkin geçiş hükmü</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3 –(</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(1) Yönetmeliğin 9 uncu maddesinin üçüncü fıkrasında belirtilen oran Yönetmeliğin yayımlandığı yıl için %2, takip eden yıl için %3 olarak uygulanır.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Asgari kuruluş sermayesine ilişkin geçiş hükmü</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4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-30/12/2014-29221 mükerrer)</w:t>
      </w:r>
      <w:r w:rsidRPr="00AF39BC">
        <w:rPr>
          <w:rFonts w:ascii="Times New Roman" w:hAnsi="Times New Roman"/>
          <w:color w:val="1C283D"/>
          <w:sz w:val="28"/>
          <w:szCs w:val="28"/>
        </w:rPr>
        <w:t xml:space="preserve">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xml:space="preserve">(1) Yönetmeliğin 6 </w:t>
      </w:r>
      <w:proofErr w:type="spellStart"/>
      <w:r w:rsidRPr="00AF39BC">
        <w:rPr>
          <w:rFonts w:ascii="Times New Roman" w:hAnsi="Times New Roman"/>
          <w:color w:val="1C283D"/>
          <w:sz w:val="28"/>
          <w:szCs w:val="28"/>
        </w:rPr>
        <w:t>ncı</w:t>
      </w:r>
      <w:proofErr w:type="spellEnd"/>
      <w:r w:rsidRPr="00AF39BC">
        <w:rPr>
          <w:rFonts w:ascii="Times New Roman" w:hAnsi="Times New Roman"/>
          <w:color w:val="1C283D"/>
          <w:sz w:val="28"/>
          <w:szCs w:val="28"/>
        </w:rPr>
        <w:t xml:space="preserve"> maddesinin birinci fıkrası ile getirilen asgari kuruluş sermayesi, bu Yönetmeliğin yayımı tarihi itibariyle mevcut kurulu acenteler hakkında uygulanmaz.</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r w:rsidRPr="00AF39BC">
        <w:rPr>
          <w:rFonts w:ascii="Times New Roman" w:hAnsi="Times New Roman"/>
          <w:b/>
          <w:bCs/>
          <w:color w:val="1C283D"/>
          <w:sz w:val="28"/>
          <w:szCs w:val="28"/>
        </w:rPr>
        <w:t>İcra Komitesinin görevlerine ilişkin geçiş hükmü</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5 – (</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Bu Yönetmelik hükümleri çerçevesinde İcra Komitesi tarafından hazırlanan genel düzenleyici işlemler, bu Yönetmeliğin yayımından itibaren 6 ay sonra yürürlüğe girer.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Sözleşmelerin uyarlanması</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GEÇİCİ MADDE 6 –</w:t>
      </w:r>
      <w:r w:rsidRPr="00AF39BC">
        <w:rPr>
          <w:rFonts w:ascii="Times New Roman" w:hAnsi="Times New Roman"/>
          <w:color w:val="1C283D"/>
          <w:sz w:val="28"/>
          <w:szCs w:val="28"/>
        </w:rPr>
        <w:t xml:space="preserve"> </w:t>
      </w:r>
      <w:r w:rsidRPr="00AF39BC">
        <w:rPr>
          <w:rFonts w:ascii="Times New Roman" w:hAnsi="Times New Roman"/>
          <w:b/>
          <w:bCs/>
          <w:color w:val="1C283D"/>
          <w:sz w:val="28"/>
          <w:szCs w:val="28"/>
        </w:rPr>
        <w:t>(</w:t>
      </w:r>
      <w:proofErr w:type="gramStart"/>
      <w:r w:rsidRPr="00AF39BC">
        <w:rPr>
          <w:rFonts w:ascii="Times New Roman" w:hAnsi="Times New Roman"/>
          <w:b/>
          <w:bCs/>
          <w:color w:val="1C283D"/>
          <w:sz w:val="28"/>
          <w:szCs w:val="28"/>
        </w:rPr>
        <w:t>Ek:RG</w:t>
      </w:r>
      <w:proofErr w:type="gramEnd"/>
      <w:r w:rsidRPr="00AF39BC">
        <w:rPr>
          <w:rFonts w:ascii="Times New Roman" w:hAnsi="Times New Roman"/>
          <w:b/>
          <w:bCs/>
          <w:color w:val="1C283D"/>
          <w:sz w:val="28"/>
          <w:szCs w:val="28"/>
        </w:rPr>
        <w:t>-16/1/2016-29595)</w:t>
      </w:r>
      <w:r w:rsidRPr="00AF39BC">
        <w:rPr>
          <w:rFonts w:ascii="Times New Roman" w:hAnsi="Times New Roman"/>
          <w:b/>
          <w:bCs/>
          <w:color w:val="1C283D"/>
          <w:sz w:val="28"/>
          <w:szCs w:val="28"/>
          <w:vertAlign w:val="superscript"/>
        </w:rPr>
        <w:t xml:space="preserve">(1)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(1) Mevcut acentelik sözleşmeleri, bu Yönetmeliğin yayımlandığı tarihten itibaren 6 ay içinde Yönetmelik hükümlerine uygun hale getirilir.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Yürürlük</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26 –</w:t>
      </w:r>
      <w:r w:rsidRPr="00AF39BC">
        <w:rPr>
          <w:rFonts w:ascii="Times New Roman" w:hAnsi="Times New Roman"/>
          <w:color w:val="1C283D"/>
          <w:sz w:val="28"/>
          <w:szCs w:val="28"/>
        </w:rPr>
        <w:t xml:space="preserve"> (1) Bu Yönetmeliğin 18 inci maddesinin üçüncü fıkrası </w:t>
      </w:r>
      <w:proofErr w:type="gramStart"/>
      <w:r w:rsidRPr="00AF39BC">
        <w:rPr>
          <w:rFonts w:ascii="Times New Roman" w:hAnsi="Times New Roman"/>
          <w:color w:val="1C283D"/>
          <w:sz w:val="28"/>
          <w:szCs w:val="28"/>
        </w:rPr>
        <w:t>1/1/2015</w:t>
      </w:r>
      <w:proofErr w:type="gramEnd"/>
      <w:r w:rsidRPr="00AF39BC">
        <w:rPr>
          <w:rFonts w:ascii="Times New Roman" w:hAnsi="Times New Roman"/>
          <w:color w:val="1C283D"/>
          <w:sz w:val="28"/>
          <w:szCs w:val="28"/>
        </w:rPr>
        <w:t xml:space="preserve"> tarihinde, diğer hükümleri yayımı tarihinde yürürlüğe girer.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Yürütme</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b/>
          <w:bCs/>
          <w:color w:val="1C283D"/>
          <w:sz w:val="28"/>
          <w:szCs w:val="28"/>
        </w:rPr>
        <w:t>MADDE 27 –</w:t>
      </w:r>
      <w:r w:rsidRPr="00AF39BC">
        <w:rPr>
          <w:rFonts w:ascii="Times New Roman" w:hAnsi="Times New Roman"/>
          <w:color w:val="1C283D"/>
          <w:sz w:val="28"/>
          <w:szCs w:val="28"/>
        </w:rPr>
        <w:t xml:space="preserve"> (1) Bu Yönetmelik hükümlerini Hazine Müsteşarlığının bağlı olduğu Bakan yürütür.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______________</w:t>
      </w:r>
    </w:p>
    <w:p w:rsidR="00AF39BC" w:rsidRPr="00AF39BC" w:rsidRDefault="00AF39BC" w:rsidP="00AF39BC">
      <w:pPr>
        <w:pStyle w:val="ListeParagraf"/>
        <w:ind w:left="927" w:hanging="360"/>
        <w:rPr>
          <w:rFonts w:ascii="Times New Roman" w:hAnsi="Times New Roman"/>
          <w:color w:val="1C283D"/>
          <w:sz w:val="28"/>
          <w:szCs w:val="28"/>
        </w:rPr>
      </w:pPr>
      <w:r w:rsidRPr="00AF39BC">
        <w:rPr>
          <w:rFonts w:ascii="Times New Roman" w:hAnsi="Times New Roman"/>
          <w:i/>
          <w:iCs/>
          <w:color w:val="1C283D"/>
          <w:sz w:val="28"/>
          <w:szCs w:val="28"/>
        </w:rPr>
        <w:t>(1)     Bu değişiklik yayımı tarihinden 6 ay sonra yürürlüğe girer.</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lastRenderedPageBreak/>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ind w:firstLine="567"/>
        <w:rPr>
          <w:rFonts w:ascii="Times New Roman" w:hAnsi="Times New Roman"/>
          <w:color w:val="1C283D"/>
          <w:sz w:val="28"/>
          <w:szCs w:val="28"/>
        </w:rPr>
      </w:pPr>
      <w:r w:rsidRPr="00AF39BC">
        <w:rPr>
          <w:rFonts w:ascii="Times New Roman" w:hAnsi="Times New Roman"/>
          <w:color w:val="1C283D"/>
          <w:sz w:val="28"/>
          <w:szCs w:val="28"/>
        </w:rPr>
        <w:t> </w:t>
      </w:r>
    </w:p>
    <w:p w:rsidR="00AF39BC" w:rsidRPr="00AF39BC" w:rsidRDefault="00AF39BC" w:rsidP="00AF39BC">
      <w:pPr>
        <w:rPr>
          <w:rFonts w:ascii="Times New Roman" w:hAnsi="Times New Roman"/>
          <w:color w:val="1C283D"/>
          <w:sz w:val="24"/>
          <w:szCs w:val="24"/>
        </w:rPr>
      </w:pPr>
      <w:r w:rsidRPr="00AF39BC">
        <w:rPr>
          <w:rFonts w:ascii="Times New Roman" w:hAnsi="Times New Roman"/>
          <w:color w:val="1C283D"/>
          <w:sz w:val="24"/>
          <w:szCs w:val="24"/>
        </w:rPr>
        <w:t> </w:t>
      </w:r>
    </w:p>
    <w:tbl>
      <w:tblPr>
        <w:tblW w:w="0" w:type="auto"/>
        <w:jc w:val="center"/>
        <w:tblInd w:w="-195" w:type="dxa"/>
        <w:tblCellMar>
          <w:left w:w="0" w:type="dxa"/>
          <w:right w:w="0" w:type="dxa"/>
        </w:tblCellMar>
        <w:tblLook w:val="04A0" w:firstRow="1" w:lastRow="0" w:firstColumn="1" w:lastColumn="0" w:noHBand="0" w:noVBand="1"/>
      </w:tblPr>
      <w:tblGrid>
        <w:gridCol w:w="873"/>
        <w:gridCol w:w="3600"/>
        <w:gridCol w:w="3600"/>
      </w:tblGrid>
      <w:tr w:rsidR="00AF39BC" w:rsidRPr="00AF39BC" w:rsidTr="00AF39BC">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firstLine="0"/>
              <w:rPr>
                <w:rFonts w:ascii="Times New Roman" w:hAnsi="Times New Roman"/>
                <w:color w:val="1C283D"/>
                <w:sz w:val="24"/>
                <w:szCs w:val="24"/>
              </w:rPr>
            </w:pPr>
            <w:r w:rsidRPr="00AF39BC">
              <w:rPr>
                <w:rFonts w:ascii="Times New Roman" w:hAnsi="Times New Roman"/>
                <w:color w:val="1C283D"/>
                <w:sz w:val="24"/>
                <w:szCs w:val="24"/>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Yönetmeliğin Yayımlandığı Resmî Gazete’nin</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Sayısı</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proofErr w:type="gramStart"/>
            <w:r w:rsidRPr="00AF39BC">
              <w:rPr>
                <w:rFonts w:ascii="Times New Roman" w:hAnsi="Times New Roman"/>
                <w:color w:val="1C283D"/>
                <w:sz w:val="24"/>
                <w:szCs w:val="24"/>
              </w:rPr>
              <w:t>22/4/2014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28980</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Yönetmelikte Değişiklik Yapan Yönetmeliklerin Yayımlandığı Resmî Gazetelerin</w:t>
            </w:r>
          </w:p>
        </w:tc>
      </w:tr>
      <w:tr w:rsidR="00AF39BC" w:rsidRPr="00AF39BC" w:rsidTr="00AF39B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F39BC" w:rsidRPr="00AF39BC" w:rsidRDefault="00AF39BC">
            <w:pPr>
              <w:spacing w:line="240" w:lineRule="auto"/>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b/>
                <w:bCs/>
                <w:color w:val="1C283D"/>
                <w:sz w:val="24"/>
                <w:szCs w:val="24"/>
              </w:rPr>
              <w:t>Sayısı</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proofErr w:type="gramStart"/>
            <w:r w:rsidRPr="00AF39BC">
              <w:rPr>
                <w:rFonts w:ascii="Times New Roman" w:hAnsi="Times New Roman"/>
                <w:color w:val="1C283D"/>
                <w:sz w:val="24"/>
                <w:szCs w:val="24"/>
              </w:rPr>
              <w:t>11/10/2014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29142</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 </w:t>
            </w:r>
            <w:proofErr w:type="gramStart"/>
            <w:r w:rsidRPr="00AF39BC">
              <w:rPr>
                <w:rFonts w:ascii="Times New Roman" w:hAnsi="Times New Roman"/>
                <w:color w:val="1C283D"/>
                <w:sz w:val="24"/>
                <w:szCs w:val="24"/>
              </w:rPr>
              <w:t>30/12/2014</w:t>
            </w:r>
            <w:proofErr w:type="gramEnd"/>
            <w:r w:rsidRPr="00AF39BC">
              <w:rPr>
                <w:rFonts w:ascii="Times New Roman" w:hAnsi="Times New Roman"/>
                <w:color w:val="1C283D"/>
                <w:sz w:val="24"/>
                <w:szCs w:val="24"/>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                   29221 mükerrer</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proofErr w:type="gramStart"/>
            <w:r w:rsidRPr="00AF39BC">
              <w:rPr>
                <w:rFonts w:ascii="Times New Roman" w:hAnsi="Times New Roman"/>
                <w:color w:val="1C283D"/>
                <w:sz w:val="24"/>
                <w:szCs w:val="24"/>
              </w:rPr>
              <w:t>16/1/2016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240" w:lineRule="auto"/>
              <w:ind w:firstLine="0"/>
              <w:jc w:val="center"/>
              <w:rPr>
                <w:rFonts w:ascii="Times New Roman" w:hAnsi="Times New Roman"/>
                <w:color w:val="1C283D"/>
                <w:sz w:val="24"/>
                <w:szCs w:val="24"/>
              </w:rPr>
            </w:pPr>
            <w:r w:rsidRPr="00AF39BC">
              <w:rPr>
                <w:rFonts w:ascii="Times New Roman" w:hAnsi="Times New Roman"/>
                <w:color w:val="1C283D"/>
                <w:sz w:val="24"/>
                <w:szCs w:val="24"/>
              </w:rPr>
              <w:t>29595</w:t>
            </w:r>
          </w:p>
        </w:tc>
      </w:tr>
      <w:tr w:rsidR="00AF39BC" w:rsidRPr="00AF39BC" w:rsidTr="00AF39BC">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F39BC" w:rsidRPr="00AF39BC" w:rsidRDefault="00AF39BC">
            <w:pPr>
              <w:spacing w:line="240" w:lineRule="auto"/>
              <w:ind w:left="397" w:hanging="340"/>
              <w:jc w:val="left"/>
              <w:rPr>
                <w:rFonts w:ascii="Times New Roman" w:hAnsi="Times New Roman"/>
                <w:color w:val="1C283D"/>
                <w:sz w:val="24"/>
                <w:szCs w:val="24"/>
              </w:rPr>
            </w:pPr>
            <w:r w:rsidRPr="00AF39BC">
              <w:rPr>
                <w:rFonts w:ascii="Times New Roman" w:hAnsi="Times New Roman"/>
                <w:color w:val="1C283D"/>
                <w:sz w:val="24"/>
                <w:szCs w:val="24"/>
              </w:rPr>
              <w:t>4.       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300" w:lineRule="atLeast"/>
              <w:ind w:firstLine="0"/>
              <w:jc w:val="left"/>
              <w:rPr>
                <w:rFonts w:ascii="Times New Roman" w:hAnsi="Times New Roman"/>
                <w:color w:val="1C283D"/>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F39BC" w:rsidRPr="00AF39BC" w:rsidRDefault="00AF39BC">
            <w:pPr>
              <w:spacing w:line="300" w:lineRule="atLeast"/>
              <w:ind w:firstLine="0"/>
              <w:jc w:val="left"/>
              <w:rPr>
                <w:rFonts w:ascii="Times New Roman" w:hAnsi="Times New Roman"/>
                <w:color w:val="1C283D"/>
                <w:sz w:val="24"/>
                <w:szCs w:val="24"/>
              </w:rPr>
            </w:pPr>
          </w:p>
        </w:tc>
      </w:tr>
    </w:tbl>
    <w:p w:rsidR="00AF39BC" w:rsidRPr="00AF39BC" w:rsidRDefault="00AF39BC" w:rsidP="00AF39BC">
      <w:pPr>
        <w:ind w:firstLine="567"/>
        <w:rPr>
          <w:rFonts w:ascii="Times New Roman" w:hAnsi="Times New Roman"/>
          <w:color w:val="1C283D"/>
          <w:sz w:val="24"/>
          <w:szCs w:val="24"/>
        </w:rPr>
      </w:pPr>
      <w:r w:rsidRPr="00AF39BC">
        <w:rPr>
          <w:rFonts w:ascii="Times New Roman" w:hAnsi="Times New Roman"/>
          <w:color w:val="1C283D"/>
          <w:sz w:val="24"/>
          <w:szCs w:val="24"/>
        </w:rPr>
        <w:t> </w:t>
      </w: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842399" w:rsidRDefault="00842399" w:rsidP="00AF39BC">
      <w:pPr>
        <w:ind w:firstLine="567"/>
        <w:rPr>
          <w:rFonts w:ascii="Times New Roman" w:hAnsi="Times New Roman"/>
          <w:color w:val="1C283D"/>
          <w:sz w:val="24"/>
          <w:szCs w:val="24"/>
        </w:rPr>
      </w:pPr>
    </w:p>
    <w:p w:rsidR="00AF39BC" w:rsidRPr="00AF39BC" w:rsidRDefault="00AF39BC" w:rsidP="00AF39BC">
      <w:pPr>
        <w:ind w:firstLine="567"/>
        <w:rPr>
          <w:rFonts w:ascii="Times New Roman" w:hAnsi="Times New Roman"/>
          <w:color w:val="1C283D"/>
          <w:sz w:val="24"/>
          <w:szCs w:val="24"/>
        </w:rPr>
      </w:pPr>
      <w:r w:rsidRPr="00AF39BC">
        <w:rPr>
          <w:rFonts w:ascii="Times New Roman" w:hAnsi="Times New Roman"/>
          <w:color w:val="1C283D"/>
          <w:sz w:val="24"/>
          <w:szCs w:val="24"/>
        </w:rPr>
        <w:t> </w:t>
      </w:r>
    </w:p>
    <w:p w:rsidR="00AF39BC" w:rsidRPr="00006BB5" w:rsidRDefault="00AF39BC" w:rsidP="00AF39BC">
      <w:pPr>
        <w:spacing w:line="340" w:lineRule="exact"/>
        <w:jc w:val="right"/>
        <w:rPr>
          <w:rFonts w:ascii="Times New Roman" w:hAnsi="Times New Roman"/>
          <w:b/>
          <w:sz w:val="24"/>
          <w:szCs w:val="24"/>
        </w:rPr>
      </w:pPr>
      <w:r w:rsidRPr="00006BB5">
        <w:rPr>
          <w:rFonts w:ascii="Times New Roman" w:hAnsi="Times New Roman"/>
          <w:b/>
          <w:sz w:val="24"/>
          <w:szCs w:val="24"/>
        </w:rPr>
        <w:lastRenderedPageBreak/>
        <w:t>(</w:t>
      </w:r>
      <w:proofErr w:type="gramStart"/>
      <w:r w:rsidRPr="00006BB5">
        <w:rPr>
          <w:rFonts w:ascii="Times New Roman" w:hAnsi="Times New Roman"/>
          <w:b/>
          <w:sz w:val="24"/>
          <w:szCs w:val="24"/>
        </w:rPr>
        <w:t>Değişik:RG</w:t>
      </w:r>
      <w:proofErr w:type="gramEnd"/>
      <w:r w:rsidRPr="00006BB5">
        <w:rPr>
          <w:rFonts w:ascii="Times New Roman" w:hAnsi="Times New Roman"/>
          <w:b/>
          <w:sz w:val="24"/>
          <w:szCs w:val="24"/>
        </w:rPr>
        <w:t>-16/1/2016-29595)</w:t>
      </w:r>
      <w:r w:rsidRPr="00006BB5">
        <w:rPr>
          <w:rFonts w:ascii="Times New Roman" w:hAnsi="Times New Roman"/>
          <w:b/>
          <w:sz w:val="24"/>
          <w:szCs w:val="24"/>
          <w:vertAlign w:val="superscript"/>
        </w:rPr>
        <w:t>(1)</w:t>
      </w:r>
      <w:r w:rsidRPr="00006BB5">
        <w:rPr>
          <w:rFonts w:ascii="Times New Roman" w:hAnsi="Times New Roman"/>
          <w:b/>
          <w:sz w:val="24"/>
          <w:szCs w:val="24"/>
        </w:rPr>
        <w:t xml:space="preserve"> Ek-1</w:t>
      </w:r>
    </w:p>
    <w:p w:rsidR="00AF39BC" w:rsidRDefault="00AF39BC" w:rsidP="00AF39BC">
      <w:pPr>
        <w:spacing w:line="340" w:lineRule="exact"/>
        <w:jc w:val="center"/>
        <w:rPr>
          <w:rFonts w:ascii="Times New Roman" w:hAnsi="Times New Roman"/>
          <w:b/>
          <w:sz w:val="20"/>
          <w:szCs w:val="20"/>
        </w:rPr>
      </w:pPr>
      <w:r w:rsidRPr="00006BB5">
        <w:rPr>
          <w:rFonts w:ascii="Times New Roman" w:hAnsi="Times New Roman"/>
          <w:b/>
          <w:sz w:val="20"/>
          <w:szCs w:val="20"/>
        </w:rPr>
        <w:t>SİGORTA ACENTESİ ÇALIŞANLARI ÖĞRENİM DÜZEYİ VE ASGARİ MESLEKİ DENEYİM SÜRELERİ</w:t>
      </w:r>
      <w:r>
        <w:rPr>
          <w:rFonts w:ascii="Times New Roman" w:hAnsi="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5"/>
        <w:gridCol w:w="4258"/>
        <w:gridCol w:w="2103"/>
      </w:tblGrid>
      <w:tr w:rsidR="00AF39BC" w:rsidRPr="00006BB5" w:rsidTr="00153502">
        <w:trPr>
          <w:trHeight w:val="576"/>
        </w:trPr>
        <w:tc>
          <w:tcPr>
            <w:tcW w:w="4361" w:type="dxa"/>
            <w:vAlign w:val="center"/>
          </w:tcPr>
          <w:p w:rsidR="00AF39BC" w:rsidRPr="00006BB5" w:rsidRDefault="00AF39BC" w:rsidP="00153502">
            <w:pPr>
              <w:spacing w:line="340" w:lineRule="exact"/>
              <w:jc w:val="center"/>
              <w:rPr>
                <w:rFonts w:ascii="Times New Roman" w:hAnsi="Times New Roman"/>
                <w:b/>
                <w:sz w:val="20"/>
                <w:szCs w:val="20"/>
              </w:rPr>
            </w:pPr>
            <w:r w:rsidRPr="00006BB5">
              <w:rPr>
                <w:rFonts w:ascii="Times New Roman" w:hAnsi="Times New Roman"/>
                <w:b/>
                <w:sz w:val="20"/>
                <w:szCs w:val="20"/>
              </w:rPr>
              <w:t>GÖREV TANIMLARI</w:t>
            </w:r>
          </w:p>
        </w:tc>
        <w:tc>
          <w:tcPr>
            <w:tcW w:w="6952" w:type="dxa"/>
          </w:tcPr>
          <w:p w:rsidR="00AF39BC" w:rsidRPr="00006BB5" w:rsidRDefault="00AF39BC" w:rsidP="00153502">
            <w:pPr>
              <w:spacing w:line="340" w:lineRule="exact"/>
              <w:jc w:val="center"/>
              <w:rPr>
                <w:rFonts w:ascii="Times New Roman" w:hAnsi="Times New Roman"/>
                <w:b/>
                <w:sz w:val="20"/>
                <w:szCs w:val="20"/>
              </w:rPr>
            </w:pPr>
            <w:r w:rsidRPr="00006BB5">
              <w:rPr>
                <w:rFonts w:ascii="Times New Roman" w:hAnsi="Times New Roman"/>
                <w:b/>
                <w:sz w:val="20"/>
                <w:szCs w:val="20"/>
              </w:rPr>
              <w:t>ÖĞRENİM DÜZEYİ</w:t>
            </w:r>
          </w:p>
        </w:tc>
        <w:tc>
          <w:tcPr>
            <w:tcW w:w="2971" w:type="dxa"/>
          </w:tcPr>
          <w:p w:rsidR="00AF39BC" w:rsidRPr="00006BB5" w:rsidRDefault="00AF39BC" w:rsidP="00153502">
            <w:pPr>
              <w:spacing w:line="340" w:lineRule="exact"/>
              <w:jc w:val="center"/>
              <w:rPr>
                <w:rFonts w:ascii="Times New Roman" w:hAnsi="Times New Roman"/>
                <w:b/>
                <w:sz w:val="20"/>
                <w:szCs w:val="20"/>
              </w:rPr>
            </w:pPr>
            <w:r w:rsidRPr="00006BB5">
              <w:rPr>
                <w:rFonts w:ascii="Times New Roman" w:hAnsi="Times New Roman"/>
                <w:b/>
                <w:sz w:val="20"/>
                <w:szCs w:val="20"/>
              </w:rPr>
              <w:t>MESLEKİ DENEYİM SÜRESİ</w:t>
            </w:r>
          </w:p>
        </w:tc>
      </w:tr>
      <w:tr w:rsidR="00AF39BC" w:rsidRPr="00006BB5" w:rsidTr="00153502">
        <w:trPr>
          <w:trHeight w:val="342"/>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Teknik Personel</w:t>
            </w: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Lise ve dengi okul</w:t>
            </w:r>
            <w:r w:rsidRPr="00006BB5">
              <w:rPr>
                <w:rFonts w:ascii="Times New Roman" w:hAnsi="Times New Roman"/>
                <w:sz w:val="20"/>
                <w:szCs w:val="20"/>
              </w:rPr>
              <w:tab/>
              <w:t xml:space="preserve"> </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1 yıl</w:t>
            </w:r>
          </w:p>
        </w:tc>
      </w:tr>
      <w:tr w:rsidR="00AF39BC" w:rsidRPr="00006BB5" w:rsidTr="00153502">
        <w:trPr>
          <w:trHeight w:val="63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Lise ve dengi okul (müfredatında sigortacılıkla ilgili konulara yer verilen lise dengi mesleki ve teknik eğitim okulları)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ay</w:t>
            </w:r>
          </w:p>
        </w:tc>
      </w:tr>
      <w:tr w:rsidR="00AF39BC" w:rsidRPr="00006BB5" w:rsidTr="00153502">
        <w:trPr>
          <w:trHeight w:val="369"/>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Lise ve dengi okul (teknik personel kamu istihdam programı)</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ay</w:t>
            </w:r>
          </w:p>
        </w:tc>
      </w:tr>
      <w:tr w:rsidR="00AF39BC" w:rsidRPr="00006BB5" w:rsidTr="00153502">
        <w:trPr>
          <w:trHeight w:val="35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w:t>
            </w:r>
            <w:r w:rsidRPr="00006BB5">
              <w:rPr>
                <w:rFonts w:ascii="Times New Roman" w:hAnsi="Times New Roman"/>
                <w:sz w:val="20"/>
                <w:szCs w:val="20"/>
              </w:rPr>
              <w:tab/>
              <w:t xml:space="preserve"> </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ay</w:t>
            </w:r>
          </w:p>
        </w:tc>
      </w:tr>
      <w:tr w:rsidR="00AF39BC" w:rsidRPr="00006BB5" w:rsidTr="00153502">
        <w:trPr>
          <w:trHeight w:val="449"/>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 xml:space="preserve">İki yıllık yüksekokul (sigortacılıkla ilgili bölümler*) </w:t>
            </w:r>
            <w:r w:rsidRPr="00006BB5">
              <w:rPr>
                <w:rFonts w:ascii="Times New Roman" w:hAnsi="Times New Roman"/>
                <w:sz w:val="20"/>
                <w:szCs w:val="20"/>
              </w:rPr>
              <w:tab/>
              <w:t xml:space="preserve"> </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Aranmaz.</w:t>
            </w:r>
          </w:p>
        </w:tc>
      </w:tr>
      <w:tr w:rsidR="00AF39BC" w:rsidRPr="00006BB5" w:rsidTr="00153502">
        <w:trPr>
          <w:trHeight w:val="44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Aranmaz.</w:t>
            </w:r>
          </w:p>
        </w:tc>
      </w:tr>
      <w:tr w:rsidR="00AF39BC" w:rsidRPr="00006BB5" w:rsidTr="00153502">
        <w:trPr>
          <w:trHeight w:val="356"/>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Gerçek Kişi Acente</w:t>
            </w:r>
          </w:p>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Tüzel Kişi Acente Müdürü</w:t>
            </w:r>
          </w:p>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2 yıl</w:t>
            </w:r>
          </w:p>
        </w:tc>
      </w:tr>
      <w:tr w:rsidR="00AF39BC" w:rsidRPr="00006BB5" w:rsidTr="00153502">
        <w:trPr>
          <w:trHeight w:val="314"/>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1 yıl 6 ay</w:t>
            </w:r>
          </w:p>
        </w:tc>
      </w:tr>
      <w:tr w:rsidR="00AF39BC" w:rsidRPr="00006BB5" w:rsidTr="00153502">
        <w:trPr>
          <w:trHeight w:val="190"/>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Aranmaz.</w:t>
            </w:r>
          </w:p>
        </w:tc>
      </w:tr>
      <w:tr w:rsidR="00AF39BC" w:rsidRPr="00006BB5" w:rsidTr="00153502">
        <w:trPr>
          <w:trHeight w:val="209"/>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Genel Müdür (Şube Şeklinde Faaliyet Gösteren Acenteler İçin)</w:t>
            </w: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 (sigortacılıkla ilgili bölümler*)</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7 yıl</w:t>
            </w:r>
          </w:p>
        </w:tc>
      </w:tr>
      <w:tr w:rsidR="00AF39BC" w:rsidRPr="00006BB5" w:rsidTr="00153502">
        <w:trPr>
          <w:trHeight w:val="272"/>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6 yıl</w:t>
            </w:r>
          </w:p>
        </w:tc>
      </w:tr>
      <w:tr w:rsidR="00AF39BC" w:rsidRPr="00006BB5" w:rsidTr="00153502">
        <w:trPr>
          <w:trHeight w:val="206"/>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5 yıl</w:t>
            </w:r>
          </w:p>
        </w:tc>
      </w:tr>
      <w:tr w:rsidR="00AF39BC" w:rsidRPr="00006BB5" w:rsidTr="00153502">
        <w:trPr>
          <w:trHeight w:val="267"/>
        </w:trPr>
        <w:tc>
          <w:tcPr>
            <w:tcW w:w="4361" w:type="dxa"/>
            <w:vMerge w:val="restart"/>
            <w:vAlign w:val="center"/>
          </w:tcPr>
          <w:p w:rsidR="00AF39BC" w:rsidRPr="00006BB5" w:rsidRDefault="00AF39BC" w:rsidP="00153502">
            <w:pPr>
              <w:spacing w:line="340" w:lineRule="exact"/>
              <w:rPr>
                <w:rFonts w:ascii="Times New Roman" w:hAnsi="Times New Roman"/>
                <w:b/>
                <w:sz w:val="20"/>
                <w:szCs w:val="20"/>
              </w:rPr>
            </w:pPr>
            <w:r w:rsidRPr="00006BB5">
              <w:rPr>
                <w:rFonts w:ascii="Times New Roman" w:hAnsi="Times New Roman"/>
                <w:b/>
                <w:sz w:val="20"/>
                <w:szCs w:val="20"/>
              </w:rPr>
              <w:t>Genel Müdür Yardımcısı (Şube Şeklinde Faaliyet Gösteren Acenteler İçin)</w:t>
            </w: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İki yıllık yüksekokul (sigortacılıkla ilgili bölümler*)</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5 yıl</w:t>
            </w:r>
          </w:p>
        </w:tc>
      </w:tr>
      <w:tr w:rsidR="00AF39BC" w:rsidRPr="00006BB5" w:rsidTr="00153502">
        <w:trPr>
          <w:trHeight w:val="370"/>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w:t>
            </w:r>
            <w:r w:rsidRPr="00006BB5">
              <w:rPr>
                <w:rFonts w:ascii="Times New Roman" w:hAnsi="Times New Roman"/>
                <w:sz w:val="20"/>
                <w:szCs w:val="20"/>
              </w:rPr>
              <w:tab/>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4 yıl</w:t>
            </w:r>
          </w:p>
        </w:tc>
      </w:tr>
      <w:tr w:rsidR="00AF39BC" w:rsidRPr="00006BB5" w:rsidTr="00153502">
        <w:trPr>
          <w:trHeight w:val="350"/>
        </w:trPr>
        <w:tc>
          <w:tcPr>
            <w:tcW w:w="4361" w:type="dxa"/>
            <w:vMerge/>
            <w:vAlign w:val="center"/>
          </w:tcPr>
          <w:p w:rsidR="00AF39BC" w:rsidRPr="00006BB5" w:rsidRDefault="00AF39BC" w:rsidP="00153502">
            <w:pPr>
              <w:spacing w:line="340" w:lineRule="exact"/>
              <w:rPr>
                <w:rFonts w:ascii="Times New Roman" w:hAnsi="Times New Roman"/>
                <w:b/>
                <w:sz w:val="20"/>
                <w:szCs w:val="20"/>
              </w:rPr>
            </w:pPr>
          </w:p>
        </w:tc>
        <w:tc>
          <w:tcPr>
            <w:tcW w:w="6952"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Dört yıllık yükseköğretim kurumları (sigortacılıkla ilgili bölümler*)</w:t>
            </w:r>
          </w:p>
        </w:tc>
        <w:tc>
          <w:tcPr>
            <w:tcW w:w="2971" w:type="dxa"/>
          </w:tcPr>
          <w:p w:rsidR="00AF39BC" w:rsidRPr="00006BB5" w:rsidRDefault="00AF39BC" w:rsidP="00153502">
            <w:pPr>
              <w:spacing w:line="340" w:lineRule="exact"/>
              <w:rPr>
                <w:rFonts w:ascii="Times New Roman" w:hAnsi="Times New Roman"/>
                <w:sz w:val="20"/>
                <w:szCs w:val="20"/>
              </w:rPr>
            </w:pPr>
            <w:r w:rsidRPr="00006BB5">
              <w:rPr>
                <w:rFonts w:ascii="Times New Roman" w:hAnsi="Times New Roman"/>
                <w:sz w:val="20"/>
                <w:szCs w:val="20"/>
              </w:rPr>
              <w:t>3 yıl</w:t>
            </w:r>
          </w:p>
        </w:tc>
      </w:tr>
    </w:tbl>
    <w:p w:rsidR="00AF39BC" w:rsidRPr="00006BB5" w:rsidRDefault="00AF39BC" w:rsidP="00AF39BC">
      <w:pPr>
        <w:spacing w:line="340" w:lineRule="exact"/>
        <w:jc w:val="center"/>
        <w:rPr>
          <w:rFonts w:ascii="Times New Roman" w:hAnsi="Times New Roman"/>
          <w:b/>
          <w:sz w:val="20"/>
          <w:szCs w:val="20"/>
        </w:rPr>
      </w:pPr>
    </w:p>
    <w:p w:rsidR="00AF39BC" w:rsidRPr="00006BB5" w:rsidRDefault="00AF39BC" w:rsidP="00AF39BC">
      <w:pPr>
        <w:rPr>
          <w:rFonts w:ascii="Times New Roman" w:hAnsi="Times New Roman"/>
          <w:sz w:val="20"/>
          <w:szCs w:val="20"/>
        </w:rPr>
      </w:pPr>
      <w:r w:rsidRPr="00006BB5">
        <w:rPr>
          <w:rFonts w:ascii="Times New Roman" w:hAnsi="Times New Roman"/>
          <w:sz w:val="20"/>
          <w:szCs w:val="20"/>
        </w:rPr>
        <w:t xml:space="preserve">* Sigortacılık ile ilgili bölümler sigortacılık, bankacılık ve sigortacılık, risk yönetimi ve </w:t>
      </w:r>
      <w:proofErr w:type="spellStart"/>
      <w:r w:rsidRPr="00006BB5">
        <w:rPr>
          <w:rFonts w:ascii="Times New Roman" w:hAnsi="Times New Roman"/>
          <w:sz w:val="20"/>
          <w:szCs w:val="20"/>
        </w:rPr>
        <w:t>aktüerya</w:t>
      </w:r>
      <w:proofErr w:type="spellEnd"/>
      <w:r w:rsidRPr="00006BB5">
        <w:rPr>
          <w:rFonts w:ascii="Times New Roman" w:hAnsi="Times New Roman"/>
          <w:sz w:val="20"/>
          <w:szCs w:val="20"/>
        </w:rPr>
        <w:t xml:space="preserve"> bölümleridir.</w:t>
      </w:r>
    </w:p>
    <w:p w:rsidR="00AF39BC" w:rsidRPr="00006BB5" w:rsidRDefault="00AF39BC" w:rsidP="00AF39BC">
      <w:pPr>
        <w:rPr>
          <w:sz w:val="20"/>
          <w:szCs w:val="20"/>
        </w:rPr>
      </w:pPr>
      <w:r w:rsidRPr="00006BB5">
        <w:rPr>
          <w:rFonts w:ascii="Times New Roman" w:hAnsi="Times New Roman"/>
          <w:sz w:val="20"/>
          <w:szCs w:val="20"/>
        </w:rPr>
        <w:t xml:space="preserve">- Bireysel emeklilik mevzuatı çerçevesinde aracılık yapma yetkisine sahip kişiler 6 </w:t>
      </w:r>
      <w:proofErr w:type="spellStart"/>
      <w:r w:rsidRPr="00006BB5">
        <w:rPr>
          <w:rFonts w:ascii="Times New Roman" w:hAnsi="Times New Roman"/>
          <w:sz w:val="20"/>
          <w:szCs w:val="20"/>
        </w:rPr>
        <w:t>ncı</w:t>
      </w:r>
      <w:proofErr w:type="spellEnd"/>
      <w:r w:rsidRPr="00006BB5">
        <w:rPr>
          <w:rFonts w:ascii="Times New Roman" w:hAnsi="Times New Roman"/>
          <w:sz w:val="20"/>
          <w:szCs w:val="20"/>
        </w:rPr>
        <w:t xml:space="preserve"> maddenin ikinci fıkrasının (ç) bendinde belirtilen yeterlilik sınavını kazanmaları şartıyla teknik personel olarak kabul edilir.</w:t>
      </w:r>
      <w:r w:rsidRPr="00006BB5">
        <w:rPr>
          <w:sz w:val="20"/>
          <w:szCs w:val="20"/>
        </w:rPr>
        <w:t xml:space="preserve"> </w:t>
      </w:r>
    </w:p>
    <w:p w:rsidR="00AF39BC" w:rsidRDefault="00AF39BC" w:rsidP="00AF39BC">
      <w:pPr>
        <w:rPr>
          <w:rFonts w:ascii="Times New Roman" w:hAnsi="Times New Roman"/>
          <w:sz w:val="20"/>
          <w:szCs w:val="20"/>
        </w:rPr>
      </w:pPr>
      <w:proofErr w:type="gramStart"/>
      <w:r w:rsidRPr="00006BB5">
        <w:rPr>
          <w:rFonts w:ascii="Times New Roman" w:hAnsi="Times New Roman"/>
          <w:sz w:val="20"/>
          <w:szCs w:val="20"/>
        </w:rPr>
        <w:t xml:space="preserve">- 14.04.2008 tarihinden önce sigorta acentesi ortaklığı bulunanların gerçek kişi acente ya da tüzel kişi acente müdürü olmak istemeleri halinde,  bu kişiler 14.04.2008 tarihli ve 28980 sayılı Resmi </w:t>
      </w:r>
      <w:proofErr w:type="spellStart"/>
      <w:r w:rsidRPr="00006BB5">
        <w:rPr>
          <w:rFonts w:ascii="Times New Roman" w:hAnsi="Times New Roman"/>
          <w:sz w:val="20"/>
          <w:szCs w:val="20"/>
        </w:rPr>
        <w:t>Gazete’de</w:t>
      </w:r>
      <w:proofErr w:type="spellEnd"/>
      <w:r w:rsidRPr="00006BB5">
        <w:rPr>
          <w:rFonts w:ascii="Times New Roman" w:hAnsi="Times New Roman"/>
          <w:sz w:val="20"/>
          <w:szCs w:val="20"/>
        </w:rPr>
        <w:t xml:space="preserve"> yayımlanan Sigorta Acenteleri Yönetmeliği’nin Geçici 1. Maddesi çerçevesinde anılan tarihten önce gerçek ve tüzel kişi acente yöneticiliği yapanlara tanınan öğrenim düzeyi ş</w:t>
      </w:r>
      <w:r>
        <w:rPr>
          <w:rFonts w:ascii="Times New Roman" w:hAnsi="Times New Roman"/>
          <w:sz w:val="20"/>
          <w:szCs w:val="20"/>
        </w:rPr>
        <w:t>artından muaf tutulacaktır.</w:t>
      </w:r>
      <w:proofErr w:type="gramEnd"/>
    </w:p>
    <w:p w:rsidR="00AF39BC" w:rsidRDefault="00AF39BC" w:rsidP="00AF39BC">
      <w:pPr>
        <w:rPr>
          <w:rFonts w:ascii="Times New Roman" w:hAnsi="Times New Roman"/>
          <w:sz w:val="20"/>
          <w:szCs w:val="20"/>
        </w:rPr>
      </w:pPr>
      <w:r>
        <w:rPr>
          <w:rFonts w:ascii="Times New Roman" w:hAnsi="Times New Roman"/>
          <w:sz w:val="20"/>
          <w:szCs w:val="20"/>
        </w:rPr>
        <w:t>_____________________</w:t>
      </w:r>
    </w:p>
    <w:p w:rsidR="00AF39BC" w:rsidRPr="00AF39BC" w:rsidRDefault="00AF39BC" w:rsidP="00842399">
      <w:pPr>
        <w:numPr>
          <w:ilvl w:val="0"/>
          <w:numId w:val="1"/>
        </w:numPr>
        <w:rPr>
          <w:rFonts w:ascii="Times New Roman" w:hAnsi="Times New Roman"/>
          <w:sz w:val="24"/>
          <w:szCs w:val="24"/>
        </w:rPr>
      </w:pPr>
      <w:r w:rsidRPr="00006BB5">
        <w:rPr>
          <w:rFonts w:ascii="Times New Roman" w:hAnsi="Times New Roman"/>
          <w:i/>
          <w:sz w:val="20"/>
          <w:szCs w:val="20"/>
        </w:rPr>
        <w:t xml:space="preserve">Bu değişiklik </w:t>
      </w:r>
      <w:proofErr w:type="gramStart"/>
      <w:r w:rsidRPr="00006BB5">
        <w:rPr>
          <w:rFonts w:ascii="Times New Roman" w:hAnsi="Times New Roman"/>
          <w:i/>
          <w:sz w:val="20"/>
          <w:szCs w:val="20"/>
        </w:rPr>
        <w:t>16/7/2016</w:t>
      </w:r>
      <w:proofErr w:type="gramEnd"/>
      <w:r w:rsidRPr="00006BB5">
        <w:rPr>
          <w:rFonts w:ascii="Times New Roman" w:hAnsi="Times New Roman"/>
          <w:i/>
          <w:sz w:val="20"/>
          <w:szCs w:val="20"/>
        </w:rPr>
        <w:t xml:space="preserve"> tarihinde yürürlüğe girer.</w:t>
      </w:r>
      <w:bookmarkStart w:id="0" w:name="_GoBack"/>
      <w:bookmarkEnd w:id="0"/>
      <w:r w:rsidR="00842399" w:rsidRPr="00AF39BC">
        <w:rPr>
          <w:rFonts w:ascii="Times New Roman" w:hAnsi="Times New Roman"/>
          <w:sz w:val="24"/>
          <w:szCs w:val="24"/>
        </w:rPr>
        <w:t xml:space="preserve"> </w:t>
      </w:r>
    </w:p>
    <w:sectPr w:rsidR="00AF39BC" w:rsidRPr="00AF39BC" w:rsidSect="00AF39B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4358"/>
    <w:multiLevelType w:val="hybridMultilevel"/>
    <w:tmpl w:val="45FADB02"/>
    <w:lvl w:ilvl="0" w:tplc="6480EF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A0"/>
    <w:rsid w:val="00842399"/>
    <w:rsid w:val="009E5D39"/>
    <w:rsid w:val="00AF39BC"/>
    <w:rsid w:val="00B062A0"/>
    <w:rsid w:val="00E8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BC"/>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39BC"/>
    <w:pPr>
      <w:ind w:left="720"/>
    </w:pPr>
  </w:style>
  <w:style w:type="paragraph" w:styleId="BalonMetni">
    <w:name w:val="Balloon Text"/>
    <w:basedOn w:val="Normal"/>
    <w:link w:val="BalonMetniChar"/>
    <w:uiPriority w:val="99"/>
    <w:semiHidden/>
    <w:unhideWhenUsed/>
    <w:rsid w:val="008423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399"/>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BC"/>
    <w:pPr>
      <w:spacing w:after="0" w:line="240" w:lineRule="atLeast"/>
      <w:ind w:firstLine="851"/>
      <w:jc w:val="both"/>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39BC"/>
    <w:pPr>
      <w:ind w:left="720"/>
    </w:pPr>
  </w:style>
  <w:style w:type="paragraph" w:styleId="BalonMetni">
    <w:name w:val="Balloon Text"/>
    <w:basedOn w:val="Normal"/>
    <w:link w:val="BalonMetniChar"/>
    <w:uiPriority w:val="99"/>
    <w:semiHidden/>
    <w:unhideWhenUsed/>
    <w:rsid w:val="008423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399"/>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915956">
      <w:bodyDiv w:val="1"/>
      <w:marLeft w:val="0"/>
      <w:marRight w:val="0"/>
      <w:marTop w:val="0"/>
      <w:marBottom w:val="0"/>
      <w:divBdr>
        <w:top w:val="none" w:sz="0" w:space="0" w:color="auto"/>
        <w:left w:val="none" w:sz="0" w:space="0" w:color="auto"/>
        <w:bottom w:val="none" w:sz="0" w:space="0" w:color="auto"/>
        <w:right w:val="none" w:sz="0" w:space="0" w:color="auto"/>
      </w:divBdr>
      <w:divsChild>
        <w:div w:id="1191913197">
          <w:marLeft w:val="0"/>
          <w:marRight w:val="0"/>
          <w:marTop w:val="100"/>
          <w:marBottom w:val="100"/>
          <w:divBdr>
            <w:top w:val="none" w:sz="0" w:space="0" w:color="auto"/>
            <w:left w:val="none" w:sz="0" w:space="0" w:color="auto"/>
            <w:bottom w:val="none" w:sz="0" w:space="0" w:color="auto"/>
            <w:right w:val="none" w:sz="0" w:space="0" w:color="auto"/>
          </w:divBdr>
          <w:divsChild>
            <w:div w:id="1674843586">
              <w:marLeft w:val="0"/>
              <w:marRight w:val="0"/>
              <w:marTop w:val="0"/>
              <w:marBottom w:val="0"/>
              <w:divBdr>
                <w:top w:val="none" w:sz="0" w:space="0" w:color="auto"/>
                <w:left w:val="none" w:sz="0" w:space="0" w:color="auto"/>
                <w:bottom w:val="none" w:sz="0" w:space="0" w:color="auto"/>
                <w:right w:val="none" w:sz="0" w:space="0" w:color="auto"/>
              </w:divBdr>
              <w:divsChild>
                <w:div w:id="939339001">
                  <w:marLeft w:val="0"/>
                  <w:marRight w:val="0"/>
                  <w:marTop w:val="0"/>
                  <w:marBottom w:val="0"/>
                  <w:divBdr>
                    <w:top w:val="none" w:sz="0" w:space="0" w:color="auto"/>
                    <w:left w:val="none" w:sz="0" w:space="0" w:color="auto"/>
                    <w:bottom w:val="none" w:sz="0" w:space="0" w:color="auto"/>
                    <w:right w:val="none" w:sz="0" w:space="0" w:color="auto"/>
                  </w:divBdr>
                  <w:divsChild>
                    <w:div w:id="11566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4148</Words>
  <Characters>23648</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dc:description/>
  <cp:lastModifiedBy>tobb</cp:lastModifiedBy>
  <cp:revision>2</cp:revision>
  <cp:lastPrinted>2016-07-29T12:52:00Z</cp:lastPrinted>
  <dcterms:created xsi:type="dcterms:W3CDTF">2016-07-29T12:11:00Z</dcterms:created>
  <dcterms:modified xsi:type="dcterms:W3CDTF">2016-07-29T13:16:00Z</dcterms:modified>
</cp:coreProperties>
</file>